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88" w:rsidRDefault="009D5888" w:rsidP="00B10462">
      <w:pPr>
        <w:jc w:val="center"/>
        <w:rPr>
          <w:rFonts w:ascii="Times New Roman" w:hAnsi="Times New Roman" w:cs="Times New Roman"/>
          <w:color w:val="2D2D2D"/>
          <w:sz w:val="28"/>
          <w:szCs w:val="28"/>
          <w:shd w:val="clear" w:color="auto" w:fill="FFFFFF"/>
        </w:rPr>
      </w:pPr>
      <w:r w:rsidRPr="00A62D99">
        <w:rPr>
          <w:rFonts w:ascii="Times New Roman" w:hAnsi="Times New Roman" w:cs="Times New Roman"/>
          <w:color w:val="2D2D2D"/>
          <w:sz w:val="28"/>
          <w:szCs w:val="28"/>
          <w:shd w:val="clear" w:color="auto" w:fill="FFFFFF"/>
        </w:rPr>
        <w:t>«Исследование влияния СВЧ-поля на цементно-</w:t>
      </w:r>
      <w:proofErr w:type="spellStart"/>
      <w:r w:rsidRPr="00A62D99">
        <w:rPr>
          <w:rFonts w:ascii="Times New Roman" w:hAnsi="Times New Roman" w:cs="Times New Roman"/>
          <w:color w:val="2D2D2D"/>
          <w:sz w:val="28"/>
          <w:szCs w:val="28"/>
          <w:shd w:val="clear" w:color="auto" w:fill="FFFFFF"/>
        </w:rPr>
        <w:t>диатомитовое</w:t>
      </w:r>
      <w:proofErr w:type="spellEnd"/>
      <w:r w:rsidRPr="00A62D99">
        <w:rPr>
          <w:rFonts w:ascii="Times New Roman" w:hAnsi="Times New Roman" w:cs="Times New Roman"/>
          <w:color w:val="2D2D2D"/>
          <w:sz w:val="28"/>
          <w:szCs w:val="28"/>
          <w:shd w:val="clear" w:color="auto" w:fill="FFFFFF"/>
        </w:rPr>
        <w:t xml:space="preserve"> вяжущее и разработка методов контроля технологического процесса структурообразования методом акустической эмиссии»</w:t>
      </w:r>
    </w:p>
    <w:p w:rsidR="00A62D99" w:rsidRPr="00A62D99" w:rsidRDefault="00A62D99" w:rsidP="00B10462">
      <w:pPr>
        <w:jc w:val="center"/>
        <w:rPr>
          <w:rFonts w:ascii="Times New Roman" w:hAnsi="Times New Roman" w:cs="Times New Roman"/>
          <w:color w:val="2D2D2D"/>
          <w:sz w:val="28"/>
          <w:szCs w:val="28"/>
          <w:shd w:val="clear" w:color="auto" w:fill="FFFFFF"/>
        </w:rPr>
      </w:pPr>
    </w:p>
    <w:p w:rsidR="00401D99" w:rsidRPr="00401D99" w:rsidRDefault="00401D99" w:rsidP="00401D99">
      <w:pPr>
        <w:spacing w:after="0" w:line="240" w:lineRule="auto"/>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 xml:space="preserve">И.А. Митрошин, </w:t>
      </w:r>
      <w:r w:rsidR="00E33519">
        <w:rPr>
          <w:rFonts w:ascii="Times New Roman" w:eastAsia="Times New Roman" w:hAnsi="Times New Roman" w:cs="Times New Roman"/>
          <w:sz w:val="28"/>
          <w:szCs w:val="28"/>
          <w:lang w:eastAsia="ru-RU"/>
        </w:rPr>
        <w:t xml:space="preserve">к.т.н., директор ООО «РНИИЦ», </w:t>
      </w:r>
      <w:r>
        <w:rPr>
          <w:rFonts w:ascii="Times New Roman" w:eastAsia="Times New Roman" w:hAnsi="Times New Roman" w:cs="Times New Roman"/>
          <w:sz w:val="28"/>
          <w:szCs w:val="28"/>
          <w:lang w:eastAsia="ru-RU"/>
        </w:rPr>
        <w:t>доцент кафедр</w:t>
      </w:r>
      <w:r w:rsidR="00E33519">
        <w:rPr>
          <w:rFonts w:ascii="Times New Roman" w:eastAsia="Times New Roman" w:hAnsi="Times New Roman" w:cs="Times New Roman"/>
          <w:sz w:val="28"/>
          <w:szCs w:val="28"/>
          <w:lang w:eastAsia="ru-RU"/>
        </w:rPr>
        <w:t xml:space="preserve">ы строительных конструкций </w:t>
      </w:r>
      <w:r w:rsidRPr="00401D99">
        <w:rPr>
          <w:rFonts w:ascii="Times New Roman" w:eastAsia="Times New Roman" w:hAnsi="Times New Roman" w:cs="Times New Roman"/>
          <w:sz w:val="28"/>
          <w:szCs w:val="28"/>
          <w:lang w:eastAsia="ru-RU"/>
        </w:rPr>
        <w:t>(ГОУВПО «Мордовский государственный университет им. Н.П. Огарева»)</w:t>
      </w:r>
    </w:p>
    <w:p w:rsidR="00401D99" w:rsidRPr="00401D99" w:rsidRDefault="00401D99" w:rsidP="00401D99">
      <w:pPr>
        <w:spacing w:after="0" w:line="240" w:lineRule="auto"/>
        <w:jc w:val="center"/>
        <w:rPr>
          <w:rFonts w:ascii="Times New Roman" w:eastAsia="Times New Roman" w:hAnsi="Times New Roman" w:cs="Times New Roman"/>
          <w:b/>
          <w:caps/>
          <w:sz w:val="28"/>
          <w:szCs w:val="28"/>
          <w:lang w:eastAsia="ru-RU"/>
        </w:rPr>
      </w:pPr>
    </w:p>
    <w:p w:rsidR="00401D99" w:rsidRPr="00401D99" w:rsidRDefault="00401D99" w:rsidP="00401D99">
      <w:pPr>
        <w:spacing w:after="0" w:line="360" w:lineRule="auto"/>
        <w:ind w:firstLine="680"/>
        <w:jc w:val="both"/>
        <w:rPr>
          <w:rFonts w:ascii="Times New Roman" w:eastAsia="Times New Roman" w:hAnsi="Times New Roman" w:cs="Times New Roman"/>
          <w:sz w:val="28"/>
          <w:szCs w:val="24"/>
          <w:lang w:eastAsia="ru-RU"/>
        </w:rPr>
      </w:pPr>
      <w:r w:rsidRPr="00401D99">
        <w:rPr>
          <w:rFonts w:ascii="Times New Roman" w:eastAsia="Times New Roman" w:hAnsi="Times New Roman" w:cs="Times New Roman"/>
          <w:sz w:val="28"/>
          <w:szCs w:val="24"/>
          <w:lang w:eastAsia="ru-RU"/>
        </w:rPr>
        <w:t xml:space="preserve">В современной технике широко используют токи высокой частоты (ТВЧ) и сверхвысокой частоты (СВЧ) для нагрева и сушки различных материалов во многих отраслях промышленности. В основном эти методы нагрева применяют для интенсификации технологического процесса. Однако для структурообразования ячеистого бетона и других ячеистых структур этот метод до настоящего времени не применялся. </w:t>
      </w:r>
    </w:p>
    <w:p w:rsidR="00401D99" w:rsidRPr="00401D99" w:rsidRDefault="00401D99" w:rsidP="00401D99">
      <w:pPr>
        <w:spacing w:after="0" w:line="360" w:lineRule="auto"/>
        <w:ind w:firstLine="680"/>
        <w:jc w:val="both"/>
        <w:rPr>
          <w:rFonts w:ascii="Times New Roman" w:eastAsia="Times New Roman" w:hAnsi="Times New Roman" w:cs="Times New Roman"/>
          <w:sz w:val="28"/>
          <w:szCs w:val="24"/>
          <w:lang w:eastAsia="ru-RU"/>
        </w:rPr>
      </w:pPr>
      <w:r w:rsidRPr="00401D99">
        <w:rPr>
          <w:rFonts w:ascii="Times New Roman" w:eastAsia="Times New Roman" w:hAnsi="Times New Roman" w:cs="Times New Roman"/>
          <w:sz w:val="28"/>
          <w:szCs w:val="24"/>
          <w:lang w:eastAsia="ru-RU"/>
        </w:rPr>
        <w:t xml:space="preserve">Наличие простого метода получения пористой структуры, путем кипения растворов до </w:t>
      </w:r>
      <w:proofErr w:type="spellStart"/>
      <w:r w:rsidRPr="00401D99">
        <w:rPr>
          <w:rFonts w:ascii="Times New Roman" w:eastAsia="Times New Roman" w:hAnsi="Times New Roman" w:cs="Times New Roman"/>
          <w:sz w:val="28"/>
          <w:szCs w:val="24"/>
          <w:lang w:eastAsia="ru-RU"/>
        </w:rPr>
        <w:t>выкипания</w:t>
      </w:r>
      <w:proofErr w:type="spellEnd"/>
      <w:r w:rsidRPr="00401D99">
        <w:rPr>
          <w:rFonts w:ascii="Times New Roman" w:eastAsia="Times New Roman" w:hAnsi="Times New Roman" w:cs="Times New Roman"/>
          <w:sz w:val="28"/>
          <w:szCs w:val="24"/>
          <w:lang w:eastAsia="ru-RU"/>
        </w:rPr>
        <w:t xml:space="preserve"> избыточного количества влаги в полях  ТВЧ и СВЧ даст возможность улучшить </w:t>
      </w:r>
      <w:proofErr w:type="spellStart"/>
      <w:r w:rsidRPr="00401D99">
        <w:rPr>
          <w:rFonts w:ascii="Times New Roman" w:eastAsia="Times New Roman" w:hAnsi="Times New Roman" w:cs="Times New Roman"/>
          <w:sz w:val="28"/>
          <w:szCs w:val="24"/>
          <w:lang w:eastAsia="ru-RU"/>
        </w:rPr>
        <w:t>индустриальность</w:t>
      </w:r>
      <w:proofErr w:type="spellEnd"/>
      <w:r w:rsidRPr="00401D99">
        <w:rPr>
          <w:rFonts w:ascii="Times New Roman" w:eastAsia="Times New Roman" w:hAnsi="Times New Roman" w:cs="Times New Roman"/>
          <w:sz w:val="28"/>
          <w:szCs w:val="24"/>
          <w:lang w:eastAsia="ru-RU"/>
        </w:rPr>
        <w:t xml:space="preserve"> производства ячеистых бетонов (и др. ячеистых структур, например фильтров сорбентов для нефтяной промышленности), сократить расход электроэнергии, удешевить компоненты необходимые для формирования ячеистых структур, уменьшить трудозатраты, повысить технологичность всего процесса   и  т. д.</w:t>
      </w:r>
    </w:p>
    <w:p w:rsidR="00401D99" w:rsidRPr="00401D99" w:rsidRDefault="00401D99" w:rsidP="00401D99">
      <w:pPr>
        <w:tabs>
          <w:tab w:val="left" w:pos="0"/>
          <w:tab w:val="left" w:pos="720"/>
          <w:tab w:val="left" w:pos="7056"/>
        </w:tabs>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t>В данной работе приведены результаты экспериментальных исследований по разработке технологии получения ячеистых структур теплоизоляционных материалов источниками внутреннего нагрева.</w:t>
      </w:r>
      <w:r w:rsidRPr="00401D99">
        <w:rPr>
          <w:rFonts w:ascii="Times New Roman" w:eastAsia="Times New Roman" w:hAnsi="Times New Roman" w:cs="Times New Roman"/>
          <w:snapToGrid w:val="0"/>
          <w:sz w:val="28"/>
          <w:szCs w:val="20"/>
          <w:lang w:eastAsia="ru-RU"/>
        </w:rPr>
        <w:t xml:space="preserve"> </w:t>
      </w:r>
      <w:r w:rsidRPr="00401D99">
        <w:rPr>
          <w:rFonts w:ascii="Times New Roman" w:eastAsia="Times New Roman" w:hAnsi="Times New Roman" w:cs="Times New Roman"/>
          <w:sz w:val="28"/>
          <w:szCs w:val="20"/>
          <w:lang w:eastAsia="ru-RU"/>
        </w:rPr>
        <w:t xml:space="preserve">В качестве материалов применяемых для исследования была использована </w:t>
      </w:r>
      <w:proofErr w:type="spellStart"/>
      <w:r w:rsidRPr="00401D99">
        <w:rPr>
          <w:rFonts w:ascii="Times New Roman" w:eastAsia="Times New Roman" w:hAnsi="Times New Roman" w:cs="Times New Roman"/>
          <w:sz w:val="28"/>
          <w:szCs w:val="20"/>
          <w:lang w:eastAsia="ru-RU"/>
        </w:rPr>
        <w:t>цементо-диатомитовая</w:t>
      </w:r>
      <w:proofErr w:type="spellEnd"/>
      <w:r w:rsidRPr="00401D99">
        <w:rPr>
          <w:rFonts w:ascii="Times New Roman" w:eastAsia="Times New Roman" w:hAnsi="Times New Roman" w:cs="Times New Roman"/>
          <w:sz w:val="28"/>
          <w:szCs w:val="20"/>
          <w:lang w:eastAsia="ru-RU"/>
        </w:rPr>
        <w:t xml:space="preserve"> суспензия.</w:t>
      </w:r>
    </w:p>
    <w:p w:rsidR="00401D99" w:rsidRPr="00401D99" w:rsidRDefault="00401D99" w:rsidP="00401D99">
      <w:pPr>
        <w:widowControl w:val="0"/>
        <w:spacing w:after="0" w:line="360" w:lineRule="auto"/>
        <w:ind w:firstLine="709"/>
        <w:jc w:val="both"/>
        <w:rPr>
          <w:rFonts w:ascii="Times New Roman" w:eastAsia="Times New Roman" w:hAnsi="Times New Roman" w:cs="Times New Roman"/>
          <w:snapToGrid w:val="0"/>
          <w:sz w:val="28"/>
          <w:szCs w:val="28"/>
          <w:lang w:eastAsia="ru-RU"/>
        </w:rPr>
      </w:pPr>
      <w:r w:rsidRPr="00401D99">
        <w:rPr>
          <w:rFonts w:ascii="Times New Roman" w:eastAsia="Times New Roman" w:hAnsi="Times New Roman" w:cs="Times New Roman"/>
          <w:snapToGrid w:val="0"/>
          <w:sz w:val="28"/>
          <w:szCs w:val="28"/>
          <w:lang w:eastAsia="ru-RU"/>
        </w:rPr>
        <w:t>При высокочастотном формовании ячеистых структур использовались составы с завышенным В/Т, которые помещались в СВЧ-поле для интенсивного нагрева. При нагревании избыточное количество воды выкипало, за счет чего в процессе парообразования образовывалась ячеистая структура.</w:t>
      </w:r>
    </w:p>
    <w:p w:rsidR="00646CD5" w:rsidRPr="00401D99" w:rsidRDefault="00646CD5" w:rsidP="00646CD5">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lastRenderedPageBreak/>
        <w:t xml:space="preserve">В качестве наполнителя использовался диатомит </w:t>
      </w:r>
      <w:proofErr w:type="spellStart"/>
      <w:r w:rsidRPr="00401D99">
        <w:rPr>
          <w:rFonts w:ascii="Times New Roman" w:eastAsia="Times New Roman" w:hAnsi="Times New Roman" w:cs="Times New Roman"/>
          <w:sz w:val="28"/>
          <w:szCs w:val="20"/>
          <w:lang w:eastAsia="ru-RU"/>
        </w:rPr>
        <w:t>Атемарского</w:t>
      </w:r>
      <w:proofErr w:type="spellEnd"/>
      <w:r w:rsidRPr="00401D99">
        <w:rPr>
          <w:rFonts w:ascii="Times New Roman" w:eastAsia="Times New Roman" w:hAnsi="Times New Roman" w:cs="Times New Roman"/>
          <w:sz w:val="28"/>
          <w:szCs w:val="20"/>
          <w:lang w:eastAsia="ru-RU"/>
        </w:rPr>
        <w:t xml:space="preserve"> месторождения</w:t>
      </w:r>
      <w:r>
        <w:rPr>
          <w:rFonts w:ascii="Times New Roman" w:eastAsia="Times New Roman" w:hAnsi="Times New Roman" w:cs="Times New Roman"/>
          <w:sz w:val="28"/>
          <w:szCs w:val="20"/>
          <w:lang w:eastAsia="ru-RU"/>
        </w:rPr>
        <w:t xml:space="preserve"> (Республика </w:t>
      </w:r>
      <w:proofErr w:type="spellStart"/>
      <w:r>
        <w:rPr>
          <w:rFonts w:ascii="Times New Roman" w:eastAsia="Times New Roman" w:hAnsi="Times New Roman" w:cs="Times New Roman"/>
          <w:sz w:val="28"/>
          <w:szCs w:val="20"/>
          <w:lang w:eastAsia="ru-RU"/>
        </w:rPr>
        <w:t>Мордови</w:t>
      </w:r>
      <w:proofErr w:type="spellEnd"/>
      <w:r>
        <w:rPr>
          <w:rFonts w:ascii="Times New Roman" w:eastAsia="Times New Roman" w:hAnsi="Times New Roman" w:cs="Times New Roman"/>
          <w:sz w:val="28"/>
          <w:szCs w:val="20"/>
          <w:lang w:eastAsia="ru-RU"/>
        </w:rPr>
        <w:t>)</w:t>
      </w:r>
      <w:r w:rsidRPr="00401D99">
        <w:rPr>
          <w:rFonts w:ascii="Times New Roman" w:eastAsia="Times New Roman" w:hAnsi="Times New Roman" w:cs="Times New Roman"/>
          <w:sz w:val="28"/>
          <w:szCs w:val="20"/>
          <w:lang w:eastAsia="ru-RU"/>
        </w:rPr>
        <w:t>. Варьировали степень наполнения в следующих пределах: 30,  45, 60 % от твердого вещества. Фиксировали так же влияние следующих параметров: количество воды: 90, 95, 100 % от твердого вещества и время нагрева исследуемого материала в поле высокой частоты.</w:t>
      </w:r>
    </w:p>
    <w:p w:rsidR="00401D99" w:rsidRPr="00401D99" w:rsidRDefault="00401D99" w:rsidP="00401D99">
      <w:pPr>
        <w:widowControl w:val="0"/>
        <w:spacing w:after="0" w:line="360" w:lineRule="auto"/>
        <w:ind w:firstLine="709"/>
        <w:jc w:val="both"/>
        <w:rPr>
          <w:rFonts w:ascii="Times New Roman" w:eastAsia="Times New Roman" w:hAnsi="Times New Roman" w:cs="Times New Roman"/>
          <w:snapToGrid w:val="0"/>
          <w:sz w:val="28"/>
          <w:szCs w:val="20"/>
          <w:lang w:eastAsia="ru-RU"/>
        </w:rPr>
      </w:pPr>
      <w:r w:rsidRPr="00401D99">
        <w:rPr>
          <w:rFonts w:ascii="Times New Roman" w:eastAsia="Times New Roman" w:hAnsi="Times New Roman" w:cs="Times New Roman"/>
          <w:snapToGrid w:val="0"/>
          <w:sz w:val="28"/>
          <w:szCs w:val="28"/>
          <w:lang w:eastAsia="ru-RU"/>
        </w:rPr>
        <w:t xml:space="preserve">В результате проведенного трехфакторного эксперимента были </w:t>
      </w:r>
      <w:r w:rsidRPr="00401D99">
        <w:rPr>
          <w:rFonts w:ascii="Times New Roman" w:eastAsia="Times New Roman" w:hAnsi="Times New Roman" w:cs="Times New Roman"/>
          <w:snapToGrid w:val="0"/>
          <w:sz w:val="28"/>
          <w:szCs w:val="20"/>
          <w:lang w:eastAsia="ru-RU"/>
        </w:rPr>
        <w:t>получены зависимости, описывающие изменение прочности и средней плотности  от количественного содержания компонентов смеси (</w:t>
      </w:r>
      <w:r w:rsidRPr="00401D99">
        <w:rPr>
          <w:rFonts w:ascii="Times New Roman" w:eastAsia="Times New Roman" w:hAnsi="Times New Roman" w:cs="Times New Roman"/>
          <w:snapToGrid w:val="0"/>
          <w:sz w:val="28"/>
          <w:szCs w:val="28"/>
          <w:lang w:eastAsia="ru-RU"/>
        </w:rPr>
        <w:t xml:space="preserve">Д/Т (диатомит от массы твердого вещества) – </w:t>
      </w:r>
      <w:r w:rsidRPr="00401D99">
        <w:rPr>
          <w:rFonts w:ascii="Times New Roman" w:eastAsia="Times New Roman" w:hAnsi="Times New Roman" w:cs="Times New Roman"/>
          <w:snapToGrid w:val="0"/>
          <w:position w:val="-10"/>
          <w:sz w:val="24"/>
          <w:szCs w:val="20"/>
          <w:lang w:eastAsia="ru-RU"/>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6.75pt" o:ole="">
            <v:imagedata r:id="rId7" o:title=""/>
          </v:shape>
          <o:OLEObject Type="Embed" ProgID="Equation.3" ShapeID="_x0000_i1025" DrawAspect="Content" ObjectID="_1731999715" r:id="rId8"/>
        </w:object>
      </w:r>
      <w:r w:rsidRPr="00401D99">
        <w:rPr>
          <w:rFonts w:ascii="Times New Roman" w:eastAsia="Times New Roman" w:hAnsi="Times New Roman" w:cs="Times New Roman"/>
          <w:snapToGrid w:val="0"/>
          <w:sz w:val="24"/>
          <w:szCs w:val="20"/>
          <w:lang w:eastAsia="ru-RU"/>
        </w:rPr>
        <w:t xml:space="preserve">, </w:t>
      </w:r>
      <w:r w:rsidRPr="00401D99">
        <w:rPr>
          <w:rFonts w:ascii="Times New Roman" w:eastAsia="Times New Roman" w:hAnsi="Times New Roman" w:cs="Times New Roman"/>
          <w:snapToGrid w:val="0"/>
          <w:sz w:val="28"/>
          <w:szCs w:val="28"/>
          <w:lang w:eastAsia="ru-RU"/>
        </w:rPr>
        <w:t>В/Т</w:t>
      </w:r>
      <w:proofErr w:type="gramStart"/>
      <w:r w:rsidRPr="00401D99">
        <w:rPr>
          <w:rFonts w:ascii="Times New Roman" w:eastAsia="Times New Roman" w:hAnsi="Times New Roman" w:cs="Times New Roman"/>
          <w:snapToGrid w:val="0"/>
          <w:sz w:val="28"/>
          <w:szCs w:val="28"/>
          <w:lang w:eastAsia="ru-RU"/>
        </w:rPr>
        <w:t xml:space="preserve"> – </w:t>
      </w:r>
      <w:r w:rsidRPr="00401D99">
        <w:rPr>
          <w:rFonts w:ascii="Times New Roman" w:eastAsia="Times New Roman" w:hAnsi="Times New Roman" w:cs="Times New Roman"/>
          <w:snapToGrid w:val="0"/>
          <w:position w:val="-10"/>
          <w:sz w:val="28"/>
          <w:szCs w:val="28"/>
          <w:lang w:eastAsia="ru-RU"/>
        </w:rPr>
        <w:object w:dxaOrig="360" w:dyaOrig="340">
          <v:shape id="_x0000_i1026" type="#_x0000_t75" style="width:18.4pt;height:16.75pt" o:ole="">
            <v:imagedata r:id="rId9" o:title=""/>
          </v:shape>
          <o:OLEObject Type="Embed" ProgID="Equation.3" ShapeID="_x0000_i1026" DrawAspect="Content" ObjectID="_1731999716" r:id="rId10"/>
        </w:object>
      </w:r>
      <w:r w:rsidRPr="00401D99">
        <w:rPr>
          <w:rFonts w:ascii="Times New Roman" w:eastAsia="Times New Roman" w:hAnsi="Times New Roman" w:cs="Times New Roman"/>
          <w:snapToGrid w:val="0"/>
          <w:sz w:val="28"/>
          <w:szCs w:val="20"/>
          <w:lang w:eastAsia="ru-RU"/>
        </w:rPr>
        <w:t xml:space="preserve">) </w:t>
      </w:r>
      <w:proofErr w:type="gramEnd"/>
      <w:r w:rsidRPr="00401D99">
        <w:rPr>
          <w:rFonts w:ascii="Times New Roman" w:eastAsia="Times New Roman" w:hAnsi="Times New Roman" w:cs="Times New Roman"/>
          <w:snapToGrid w:val="0"/>
          <w:sz w:val="28"/>
          <w:szCs w:val="20"/>
          <w:lang w:eastAsia="ru-RU"/>
        </w:rPr>
        <w:t xml:space="preserve">и времени СВЧ-нагрева – </w:t>
      </w:r>
      <w:r w:rsidRPr="00401D99">
        <w:rPr>
          <w:rFonts w:ascii="Times New Roman" w:eastAsia="Times New Roman" w:hAnsi="Times New Roman" w:cs="Times New Roman"/>
          <w:snapToGrid w:val="0"/>
          <w:position w:val="-12"/>
          <w:sz w:val="24"/>
          <w:szCs w:val="20"/>
          <w:lang w:eastAsia="ru-RU"/>
        </w:rPr>
        <w:object w:dxaOrig="340" w:dyaOrig="360">
          <v:shape id="_x0000_i1027" type="#_x0000_t75" style="width:16.75pt;height:18.4pt" o:ole="">
            <v:imagedata r:id="rId11" o:title=""/>
          </v:shape>
          <o:OLEObject Type="Embed" ProgID="Equation.3" ShapeID="_x0000_i1027" DrawAspect="Content" ObjectID="_1731999717" r:id="rId12"/>
        </w:object>
      </w:r>
      <w:r w:rsidRPr="00401D99">
        <w:rPr>
          <w:rFonts w:ascii="Times New Roman" w:eastAsia="Times New Roman" w:hAnsi="Times New Roman" w:cs="Times New Roman"/>
          <w:snapToGrid w:val="0"/>
          <w:sz w:val="28"/>
          <w:szCs w:val="20"/>
          <w:lang w:eastAsia="ru-RU"/>
        </w:rPr>
        <w:t>.</w:t>
      </w:r>
    </w:p>
    <w:p w:rsidR="00401D99" w:rsidRPr="00401D99" w:rsidRDefault="00401D99" w:rsidP="00401D99">
      <w:pPr>
        <w:spacing w:after="0" w:line="240" w:lineRule="auto"/>
        <w:jc w:val="center"/>
        <w:rPr>
          <w:rFonts w:ascii="Times New Roman" w:eastAsia="Times New Roman" w:hAnsi="Times New Roman" w:cs="Times New Roman"/>
          <w:sz w:val="28"/>
          <w:szCs w:val="24"/>
          <w:lang w:eastAsia="ru-RU"/>
        </w:rPr>
      </w:pPr>
      <w:r w:rsidRPr="00401D99">
        <w:rPr>
          <w:rFonts w:ascii="Times New Roman" w:eastAsia="Times New Roman" w:hAnsi="Times New Roman" w:cs="Times New Roman"/>
          <w:position w:val="-36"/>
          <w:sz w:val="28"/>
          <w:szCs w:val="24"/>
          <w:lang w:eastAsia="ru-RU"/>
        </w:rPr>
        <w:object w:dxaOrig="9139" w:dyaOrig="859">
          <v:shape id="_x0000_i1028" type="#_x0000_t75" style="width:457.1pt;height:42.7pt" o:ole="">
            <v:imagedata r:id="rId13" o:title=""/>
          </v:shape>
          <o:OLEObject Type="Embed" ProgID="Equation.3" ShapeID="_x0000_i1028" DrawAspect="Content" ObjectID="_1731999718" r:id="rId14"/>
        </w:object>
      </w:r>
    </w:p>
    <w:p w:rsidR="00401D99" w:rsidRPr="00401D99" w:rsidRDefault="00401D99" w:rsidP="00401D99">
      <w:pPr>
        <w:spacing w:after="0" w:line="240" w:lineRule="auto"/>
        <w:jc w:val="center"/>
        <w:rPr>
          <w:rFonts w:ascii="Times New Roman" w:eastAsia="Times New Roman" w:hAnsi="Times New Roman" w:cs="Times New Roman"/>
          <w:sz w:val="28"/>
          <w:szCs w:val="28"/>
          <w:lang w:eastAsia="ru-RU"/>
        </w:rPr>
      </w:pPr>
      <w:r w:rsidRPr="00401D99">
        <w:rPr>
          <w:rFonts w:ascii="Times New Roman" w:eastAsia="Times New Roman" w:hAnsi="Times New Roman" w:cs="Times New Roman"/>
          <w:position w:val="-36"/>
          <w:sz w:val="28"/>
          <w:szCs w:val="28"/>
          <w:lang w:eastAsia="ru-RU"/>
        </w:rPr>
        <w:object w:dxaOrig="9160" w:dyaOrig="859">
          <v:shape id="_x0000_i1029" type="#_x0000_t75" style="width:457.95pt;height:42.7pt" o:ole="">
            <v:imagedata r:id="rId15" o:title=""/>
          </v:shape>
          <o:OLEObject Type="Embed" ProgID="Equation.3" ShapeID="_x0000_i1029" DrawAspect="Content" ObjectID="_1731999719" r:id="rId16"/>
        </w:object>
      </w:r>
    </w:p>
    <w:p w:rsidR="00401D99" w:rsidRPr="00401D99" w:rsidRDefault="00401D99" w:rsidP="00401D99">
      <w:pPr>
        <w:spacing w:after="0" w:line="240" w:lineRule="auto"/>
        <w:jc w:val="both"/>
        <w:rPr>
          <w:rFonts w:ascii="Times New Roman" w:eastAsia="Times New Roman" w:hAnsi="Times New Roman" w:cs="Times New Roman"/>
          <w:sz w:val="28"/>
          <w:szCs w:val="28"/>
          <w:vertAlign w:val="subscript"/>
          <w:lang w:eastAsia="ru-RU"/>
        </w:rPr>
      </w:pPr>
    </w:p>
    <w:p w:rsidR="00401D99" w:rsidRPr="00401D99" w:rsidRDefault="00646CD5" w:rsidP="00401D99">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2B3F3A6E" wp14:editId="33B145C9">
            <wp:simplePos x="0" y="0"/>
            <wp:positionH relativeFrom="column">
              <wp:posOffset>1045845</wp:posOffset>
            </wp:positionH>
            <wp:positionV relativeFrom="paragraph">
              <wp:posOffset>900430</wp:posOffset>
            </wp:positionV>
            <wp:extent cx="3590925" cy="2886075"/>
            <wp:effectExtent l="0" t="0" r="9525" b="9525"/>
            <wp:wrapTight wrapText="bothSides">
              <wp:wrapPolygon edited="0">
                <wp:start x="0" y="0"/>
                <wp:lineTo x="0" y="21529"/>
                <wp:lineTo x="21543" y="21529"/>
                <wp:lineTo x="2154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17">
                      <a:extLst>
                        <a:ext uri="{28A0092B-C50C-407E-A947-70E740481C1C}">
                          <a14:useLocalDpi xmlns:a14="http://schemas.microsoft.com/office/drawing/2010/main" val="0"/>
                        </a:ext>
                      </a:extLst>
                    </a:blip>
                    <a:stretch>
                      <a:fillRect/>
                    </a:stretch>
                  </pic:blipFill>
                  <pic:spPr>
                    <a:xfrm>
                      <a:off x="0" y="0"/>
                      <a:ext cx="3590925" cy="2886075"/>
                    </a:xfrm>
                    <a:prstGeom prst="rect">
                      <a:avLst/>
                    </a:prstGeom>
                  </pic:spPr>
                </pic:pic>
              </a:graphicData>
            </a:graphic>
            <wp14:sizeRelH relativeFrom="page">
              <wp14:pctWidth>0</wp14:pctWidth>
            </wp14:sizeRelH>
            <wp14:sizeRelV relativeFrom="page">
              <wp14:pctHeight>0</wp14:pctHeight>
            </wp14:sizeRelV>
          </wp:anchor>
        </w:drawing>
      </w:r>
      <w:r w:rsidR="00401D99" w:rsidRPr="00401D99">
        <w:rPr>
          <w:rFonts w:ascii="Times New Roman" w:eastAsia="Times New Roman" w:hAnsi="Times New Roman" w:cs="Times New Roman"/>
          <w:sz w:val="28"/>
          <w:szCs w:val="28"/>
          <w:lang w:eastAsia="ru-RU"/>
        </w:rPr>
        <w:t xml:space="preserve">Анализ полученных результатов показал, что предел  прочности при сжатии исследуемых материалов зависит в основном от степени наполнения диатомитом (рис. 1). </w:t>
      </w:r>
    </w:p>
    <w:p w:rsidR="00401D99" w:rsidRDefault="00401D99"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Default="00646CD5" w:rsidP="00646CD5">
      <w:pPr>
        <w:spacing w:after="0" w:line="360" w:lineRule="auto"/>
        <w:jc w:val="center"/>
        <w:rPr>
          <w:noProof/>
          <w:sz w:val="28"/>
          <w:lang w:eastAsia="ru-RU"/>
        </w:rPr>
      </w:pPr>
    </w:p>
    <w:p w:rsidR="00646CD5" w:rsidRPr="00401D99" w:rsidRDefault="00646CD5" w:rsidP="00646CD5">
      <w:pPr>
        <w:spacing w:after="0" w:line="360" w:lineRule="auto"/>
        <w:jc w:val="center"/>
        <w:rPr>
          <w:rFonts w:ascii="Times New Roman" w:eastAsia="Times New Roman" w:hAnsi="Times New Roman" w:cs="Times New Roman"/>
          <w:sz w:val="28"/>
          <w:szCs w:val="20"/>
          <w:lang w:eastAsia="ru-RU"/>
        </w:rPr>
      </w:pPr>
    </w:p>
    <w:p w:rsidR="00401D99" w:rsidRPr="00401D99" w:rsidRDefault="00401D99" w:rsidP="00401D99">
      <w:pPr>
        <w:spacing w:after="0" w:line="240" w:lineRule="auto"/>
        <w:jc w:val="center"/>
        <w:rPr>
          <w:rFonts w:ascii="Times New Roman" w:eastAsia="Times New Roman" w:hAnsi="Times New Roman" w:cs="Times New Roman"/>
          <w:sz w:val="26"/>
          <w:szCs w:val="26"/>
          <w:lang w:eastAsia="ru-RU"/>
        </w:rPr>
      </w:pPr>
      <w:r w:rsidRPr="00401D99">
        <w:rPr>
          <w:rFonts w:ascii="Times New Roman" w:eastAsia="Times New Roman" w:hAnsi="Times New Roman" w:cs="Times New Roman"/>
          <w:sz w:val="26"/>
          <w:szCs w:val="26"/>
          <w:lang w:eastAsia="ru-RU"/>
        </w:rPr>
        <w:t xml:space="preserve">Рис. 1. Поверхность изменения прочности ячеистых бетонов, наполненных диатомитом в зависимости от содержания диатомита </w:t>
      </w:r>
      <w:r w:rsidRPr="00401D99">
        <w:rPr>
          <w:rFonts w:ascii="Times New Roman" w:eastAsia="Times New Roman" w:hAnsi="Times New Roman" w:cs="Times New Roman"/>
          <w:sz w:val="26"/>
          <w:szCs w:val="26"/>
          <w:lang w:val="en-US" w:eastAsia="ru-RU"/>
        </w:rPr>
        <w:t>X</w:t>
      </w:r>
      <w:r w:rsidRPr="00401D99">
        <w:rPr>
          <w:rFonts w:ascii="Times New Roman" w:eastAsia="Times New Roman" w:hAnsi="Times New Roman" w:cs="Times New Roman"/>
          <w:sz w:val="26"/>
          <w:szCs w:val="26"/>
          <w:vertAlign w:val="subscript"/>
          <w:lang w:eastAsia="ru-RU"/>
        </w:rPr>
        <w:t>1</w:t>
      </w:r>
      <w:r w:rsidRPr="00401D99">
        <w:rPr>
          <w:rFonts w:ascii="Times New Roman" w:eastAsia="Times New Roman" w:hAnsi="Times New Roman" w:cs="Times New Roman"/>
          <w:sz w:val="26"/>
          <w:szCs w:val="26"/>
          <w:lang w:eastAsia="ru-RU"/>
        </w:rPr>
        <w:t xml:space="preserve">, В/Т отношения </w:t>
      </w:r>
      <w:r w:rsidRPr="00401D99">
        <w:rPr>
          <w:rFonts w:ascii="Times New Roman" w:eastAsia="Times New Roman" w:hAnsi="Times New Roman" w:cs="Times New Roman"/>
          <w:sz w:val="26"/>
          <w:szCs w:val="26"/>
          <w:lang w:val="en-US" w:eastAsia="ru-RU"/>
        </w:rPr>
        <w:t>X</w:t>
      </w:r>
      <w:r w:rsidRPr="00401D99">
        <w:rPr>
          <w:rFonts w:ascii="Times New Roman" w:eastAsia="Times New Roman" w:hAnsi="Times New Roman" w:cs="Times New Roman"/>
          <w:sz w:val="26"/>
          <w:szCs w:val="26"/>
          <w:vertAlign w:val="subscript"/>
          <w:lang w:eastAsia="ru-RU"/>
        </w:rPr>
        <w:t>2</w:t>
      </w:r>
      <w:r w:rsidRPr="00401D99">
        <w:rPr>
          <w:rFonts w:ascii="Times New Roman" w:eastAsia="Times New Roman" w:hAnsi="Times New Roman" w:cs="Times New Roman"/>
          <w:sz w:val="26"/>
          <w:szCs w:val="26"/>
          <w:lang w:eastAsia="ru-RU"/>
        </w:rPr>
        <w:t xml:space="preserve">, </w:t>
      </w:r>
    </w:p>
    <w:p w:rsidR="00401D99" w:rsidRPr="00401D99" w:rsidRDefault="00401D99" w:rsidP="00401D99">
      <w:pPr>
        <w:spacing w:after="0" w:line="240" w:lineRule="auto"/>
        <w:jc w:val="center"/>
        <w:rPr>
          <w:rFonts w:ascii="Times New Roman" w:eastAsia="Times New Roman" w:hAnsi="Times New Roman" w:cs="Times New Roman"/>
          <w:sz w:val="26"/>
          <w:szCs w:val="26"/>
          <w:lang w:eastAsia="ru-RU"/>
        </w:rPr>
      </w:pPr>
      <w:r w:rsidRPr="00401D99">
        <w:rPr>
          <w:rFonts w:ascii="Times New Roman" w:eastAsia="Times New Roman" w:hAnsi="Times New Roman" w:cs="Times New Roman"/>
          <w:sz w:val="26"/>
          <w:szCs w:val="26"/>
          <w:lang w:eastAsia="ru-RU"/>
        </w:rPr>
        <w:t xml:space="preserve">и времени нагрева </w:t>
      </w:r>
      <w:r w:rsidRPr="00401D99">
        <w:rPr>
          <w:rFonts w:ascii="Times New Roman" w:eastAsia="Times New Roman" w:hAnsi="Times New Roman" w:cs="Times New Roman"/>
          <w:sz w:val="26"/>
          <w:szCs w:val="26"/>
          <w:lang w:val="en-US" w:eastAsia="ru-RU"/>
        </w:rPr>
        <w:t>X</w:t>
      </w:r>
      <w:r w:rsidRPr="00401D99">
        <w:rPr>
          <w:rFonts w:ascii="Times New Roman" w:eastAsia="Times New Roman" w:hAnsi="Times New Roman" w:cs="Times New Roman"/>
          <w:sz w:val="26"/>
          <w:szCs w:val="26"/>
          <w:vertAlign w:val="subscript"/>
          <w:lang w:eastAsia="ru-RU"/>
        </w:rPr>
        <w:t>3</w:t>
      </w:r>
    </w:p>
    <w:p w:rsidR="00B5031D" w:rsidRPr="00401D99" w:rsidRDefault="00B5031D" w:rsidP="00B5031D">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lastRenderedPageBreak/>
        <w:t>При этом время нагрева смеси и не оказывает существенного влияния на исследуемую характеристику (рис.1). Максимальные значения данной характеристики зафиксированы для составов содержащих диатомит в количестве 30 % от массы твердого вещества. Средняя плотность исследуемых материалов снижается с увеличением степени наполнения диатомитом.</w:t>
      </w:r>
    </w:p>
    <w:p w:rsidR="00B5031D" w:rsidRPr="00401D99" w:rsidRDefault="00B5031D" w:rsidP="00B5031D">
      <w:pPr>
        <w:spacing w:after="0" w:line="360" w:lineRule="auto"/>
        <w:ind w:firstLine="720"/>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 xml:space="preserve">Эффективность </w:t>
      </w:r>
      <w:proofErr w:type="gramStart"/>
      <w:r w:rsidRPr="00401D99">
        <w:rPr>
          <w:rFonts w:ascii="Times New Roman" w:eastAsia="Times New Roman" w:hAnsi="Times New Roman" w:cs="Times New Roman"/>
          <w:sz w:val="28"/>
          <w:szCs w:val="28"/>
          <w:lang w:eastAsia="ru-RU"/>
        </w:rPr>
        <w:t>полученных</w:t>
      </w:r>
      <w:proofErr w:type="gramEnd"/>
      <w:r w:rsidRPr="00401D99">
        <w:rPr>
          <w:rFonts w:ascii="Times New Roman" w:eastAsia="Times New Roman" w:hAnsi="Times New Roman" w:cs="Times New Roman"/>
          <w:sz w:val="28"/>
          <w:szCs w:val="28"/>
          <w:lang w:eastAsia="ru-RU"/>
        </w:rPr>
        <w:t xml:space="preserve"> СВЧ-бетонов оценивали по коэффициенту конструктивного качества. Анализ значений коэффициента конструктивного качества показывает что, он соответствует данной характеристике для ячеистых бетонов. Максимальные значения коэффициента конструктивного качества получены для составов с 30 % степенью наполнения диатомитом.</w:t>
      </w:r>
    </w:p>
    <w:p w:rsidR="00B5031D" w:rsidRPr="00401D99" w:rsidRDefault="00B5031D" w:rsidP="00B5031D">
      <w:pPr>
        <w:spacing w:after="0" w:line="360" w:lineRule="auto"/>
        <w:ind w:firstLine="709"/>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На структуру порового пространства исследуемого материала большое влияние оказывают технологические параметры изготовления, такие как – фильтрация пара, состав, сроки выдерживания теста перед формированием, количество затворяемой воды, количество фракций наполнителя и их размер.</w:t>
      </w:r>
    </w:p>
    <w:p w:rsidR="00B5031D" w:rsidRPr="00401D99" w:rsidRDefault="00B5031D" w:rsidP="00B5031D">
      <w:pPr>
        <w:spacing w:after="0" w:line="360" w:lineRule="auto"/>
        <w:ind w:firstLine="709"/>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 xml:space="preserve">Предлагаемый процесс формирования ячеистой структуры </w:t>
      </w:r>
      <w:proofErr w:type="spellStart"/>
      <w:r w:rsidRPr="00401D99">
        <w:rPr>
          <w:rFonts w:ascii="Times New Roman" w:eastAsia="Times New Roman" w:hAnsi="Times New Roman" w:cs="Times New Roman"/>
          <w:sz w:val="28"/>
          <w:szCs w:val="28"/>
          <w:lang w:eastAsia="ru-RU"/>
        </w:rPr>
        <w:t>высокоинтенсивен</w:t>
      </w:r>
      <w:proofErr w:type="spellEnd"/>
      <w:r w:rsidRPr="00401D99">
        <w:rPr>
          <w:rFonts w:ascii="Times New Roman" w:eastAsia="Times New Roman" w:hAnsi="Times New Roman" w:cs="Times New Roman"/>
          <w:sz w:val="28"/>
          <w:szCs w:val="28"/>
          <w:lang w:eastAsia="ru-RU"/>
        </w:rPr>
        <w:t xml:space="preserve">, поэтому требует высокоточных средств контроля и управления. Для анализа процессов образования поровой структуры и контроля технологического процесса образования пор использовался метод акустической эмиссии. </w:t>
      </w:r>
    </w:p>
    <w:p w:rsidR="00401D99" w:rsidRPr="00401D99" w:rsidRDefault="00401D99" w:rsidP="00401D99">
      <w:pPr>
        <w:spacing w:after="0" w:line="360" w:lineRule="auto"/>
        <w:ind w:firstLine="709"/>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 xml:space="preserve">Данный метод основан на измерении акустической эмиссии в звуковом диапазоне частот, что позволяет четко фиксировать картину всех звуковых параметров кипения и анализировать образование пористых структур. </w:t>
      </w:r>
    </w:p>
    <w:p w:rsidR="00401D99" w:rsidRDefault="00401D99" w:rsidP="00401D99">
      <w:pPr>
        <w:spacing w:after="0" w:line="360" w:lineRule="auto"/>
        <w:ind w:firstLine="709"/>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 xml:space="preserve">Результаты обрабатывались при помощи широко распространенного музыкального редактора </w:t>
      </w:r>
      <w:proofErr w:type="spellStart"/>
      <w:r w:rsidRPr="00401D99">
        <w:rPr>
          <w:rFonts w:ascii="Times New Roman" w:eastAsia="Times New Roman" w:hAnsi="Times New Roman" w:cs="Times New Roman"/>
          <w:sz w:val="28"/>
          <w:szCs w:val="28"/>
          <w:lang w:eastAsia="ru-RU"/>
        </w:rPr>
        <w:t>Cool</w:t>
      </w:r>
      <w:proofErr w:type="spellEnd"/>
      <w:r w:rsidRPr="00401D99">
        <w:rPr>
          <w:rFonts w:ascii="Times New Roman" w:eastAsia="Times New Roman" w:hAnsi="Times New Roman" w:cs="Times New Roman"/>
          <w:sz w:val="28"/>
          <w:szCs w:val="28"/>
          <w:lang w:eastAsia="ru-RU"/>
        </w:rPr>
        <w:t xml:space="preserve"> </w:t>
      </w:r>
      <w:proofErr w:type="spellStart"/>
      <w:r w:rsidRPr="00401D99">
        <w:rPr>
          <w:rFonts w:ascii="Times New Roman" w:eastAsia="Times New Roman" w:hAnsi="Times New Roman" w:cs="Times New Roman"/>
          <w:sz w:val="28"/>
          <w:szCs w:val="28"/>
          <w:lang w:eastAsia="ru-RU"/>
        </w:rPr>
        <w:t>Edit</w:t>
      </w:r>
      <w:proofErr w:type="spellEnd"/>
      <w:r w:rsidRPr="00401D99">
        <w:rPr>
          <w:rFonts w:ascii="Times New Roman" w:eastAsia="Times New Roman" w:hAnsi="Times New Roman" w:cs="Times New Roman"/>
          <w:sz w:val="28"/>
          <w:szCs w:val="28"/>
          <w:lang w:eastAsia="ru-RU"/>
        </w:rPr>
        <w:t xml:space="preserve"> </w:t>
      </w:r>
      <w:proofErr w:type="spellStart"/>
      <w:r w:rsidRPr="00401D99">
        <w:rPr>
          <w:rFonts w:ascii="Times New Roman" w:eastAsia="Times New Roman" w:hAnsi="Times New Roman" w:cs="Times New Roman"/>
          <w:sz w:val="28"/>
          <w:szCs w:val="28"/>
          <w:lang w:eastAsia="ru-RU"/>
        </w:rPr>
        <w:t>Pro</w:t>
      </w:r>
      <w:proofErr w:type="spellEnd"/>
      <w:r w:rsidRPr="00401D99">
        <w:rPr>
          <w:rFonts w:ascii="Times New Roman" w:eastAsia="Times New Roman" w:hAnsi="Times New Roman" w:cs="Times New Roman"/>
          <w:sz w:val="28"/>
          <w:szCs w:val="28"/>
          <w:lang w:eastAsia="ru-RU"/>
        </w:rPr>
        <w:t xml:space="preserve">, что оказалось достаточно, чтобы анализировать происходящий процесс. В программе есть модуль, определяющий полную статистическую характеристику звукового шума – энергетического спектра. Встроенный анализатор программы </w:t>
      </w:r>
      <w:proofErr w:type="spellStart"/>
      <w:r w:rsidRPr="00401D99">
        <w:rPr>
          <w:rFonts w:ascii="Times New Roman" w:eastAsia="Times New Roman" w:hAnsi="Times New Roman" w:cs="Times New Roman"/>
          <w:sz w:val="28"/>
          <w:szCs w:val="28"/>
          <w:lang w:eastAsia="ru-RU"/>
        </w:rPr>
        <w:t>Cool</w:t>
      </w:r>
      <w:proofErr w:type="spellEnd"/>
      <w:r w:rsidRPr="00401D99">
        <w:rPr>
          <w:rFonts w:ascii="Times New Roman" w:eastAsia="Times New Roman" w:hAnsi="Times New Roman" w:cs="Times New Roman"/>
          <w:sz w:val="28"/>
          <w:szCs w:val="28"/>
          <w:lang w:eastAsia="ru-RU"/>
        </w:rPr>
        <w:t xml:space="preserve"> </w:t>
      </w:r>
      <w:proofErr w:type="spellStart"/>
      <w:r w:rsidRPr="00401D99">
        <w:rPr>
          <w:rFonts w:ascii="Times New Roman" w:eastAsia="Times New Roman" w:hAnsi="Times New Roman" w:cs="Times New Roman"/>
          <w:sz w:val="28"/>
          <w:szCs w:val="28"/>
          <w:lang w:eastAsia="ru-RU"/>
        </w:rPr>
        <w:t>Edit</w:t>
      </w:r>
      <w:proofErr w:type="spellEnd"/>
      <w:r w:rsidRPr="00401D99">
        <w:rPr>
          <w:rFonts w:ascii="Times New Roman" w:eastAsia="Times New Roman" w:hAnsi="Times New Roman" w:cs="Times New Roman"/>
          <w:sz w:val="28"/>
          <w:szCs w:val="28"/>
          <w:lang w:eastAsia="ru-RU"/>
        </w:rPr>
        <w:t xml:space="preserve"> </w:t>
      </w:r>
      <w:proofErr w:type="spellStart"/>
      <w:r w:rsidRPr="00401D99">
        <w:rPr>
          <w:rFonts w:ascii="Times New Roman" w:eastAsia="Times New Roman" w:hAnsi="Times New Roman" w:cs="Times New Roman"/>
          <w:sz w:val="28"/>
          <w:szCs w:val="28"/>
          <w:lang w:eastAsia="ru-RU"/>
        </w:rPr>
        <w:t>Pro</w:t>
      </w:r>
      <w:proofErr w:type="spellEnd"/>
      <w:r w:rsidRPr="00401D99">
        <w:rPr>
          <w:rFonts w:ascii="Times New Roman" w:eastAsia="Times New Roman" w:hAnsi="Times New Roman" w:cs="Times New Roman"/>
          <w:sz w:val="28"/>
          <w:szCs w:val="28"/>
          <w:lang w:eastAsia="ru-RU"/>
        </w:rPr>
        <w:t xml:space="preserve"> позволяет в реальном времени фиксировать появление высокочастотных </w:t>
      </w:r>
      <w:r w:rsidRPr="00401D99">
        <w:rPr>
          <w:rFonts w:ascii="Times New Roman" w:eastAsia="Times New Roman" w:hAnsi="Times New Roman" w:cs="Times New Roman"/>
          <w:sz w:val="28"/>
          <w:szCs w:val="28"/>
          <w:lang w:eastAsia="ru-RU"/>
        </w:rPr>
        <w:lastRenderedPageBreak/>
        <w:t>шумов, сопровождающих  структурообразование, что позволяет различить технологические шумы (шумы от печи и др. техники) от шумов кипения.</w:t>
      </w:r>
    </w:p>
    <w:p w:rsidR="009062CB" w:rsidRDefault="009062CB" w:rsidP="00B5031D">
      <w:pPr>
        <w:spacing w:after="0" w:line="360" w:lineRule="auto"/>
        <w:jc w:val="center"/>
        <w:rPr>
          <w:rFonts w:ascii="Times New Roman" w:eastAsia="Times New Roman" w:hAnsi="Times New Roman" w:cs="Times New Roman"/>
          <w:sz w:val="28"/>
          <w:szCs w:val="28"/>
          <w:lang w:eastAsia="ru-RU"/>
        </w:rPr>
      </w:pPr>
      <w:r w:rsidRPr="00401D99">
        <w:rPr>
          <w:rFonts w:ascii="Times New Roman" w:eastAsia="Times New Roman" w:hAnsi="Times New Roman" w:cs="Times New Roman"/>
          <w:noProof/>
          <w:sz w:val="20"/>
          <w:szCs w:val="20"/>
          <w:lang w:eastAsia="ru-RU"/>
        </w:rPr>
        <w:drawing>
          <wp:inline distT="0" distB="0" distL="0" distR="0" wp14:anchorId="400665F6" wp14:editId="50826775">
            <wp:extent cx="5229225" cy="3924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3924300"/>
                    </a:xfrm>
                    <a:prstGeom prst="rect">
                      <a:avLst/>
                    </a:prstGeom>
                    <a:noFill/>
                    <a:ln>
                      <a:noFill/>
                    </a:ln>
                  </pic:spPr>
                </pic:pic>
              </a:graphicData>
            </a:graphic>
          </wp:inline>
        </w:drawing>
      </w:r>
    </w:p>
    <w:p w:rsidR="00211D99" w:rsidRDefault="009062CB" w:rsidP="00211D99">
      <w:pPr>
        <w:spacing w:after="0" w:line="240" w:lineRule="auto"/>
        <w:ind w:firstLine="680"/>
        <w:jc w:val="center"/>
        <w:rPr>
          <w:rFonts w:ascii="Times New Roman" w:eastAsia="Times New Roman" w:hAnsi="Times New Roman" w:cs="Times New Roman"/>
          <w:sz w:val="26"/>
          <w:szCs w:val="26"/>
          <w:lang w:eastAsia="ru-RU"/>
        </w:rPr>
      </w:pPr>
      <w:r w:rsidRPr="00211D99">
        <w:rPr>
          <w:rFonts w:ascii="Times New Roman" w:eastAsia="Times New Roman" w:hAnsi="Times New Roman" w:cs="Times New Roman"/>
          <w:sz w:val="26"/>
          <w:szCs w:val="26"/>
          <w:lang w:eastAsia="ru-RU"/>
        </w:rPr>
        <w:t xml:space="preserve">Рис. 2. - Работа программы  во время измерения характеристик </w:t>
      </w:r>
    </w:p>
    <w:p w:rsidR="009062CB" w:rsidRDefault="00211D99" w:rsidP="00211D99">
      <w:pPr>
        <w:spacing w:after="0" w:line="240" w:lineRule="auto"/>
        <w:ind w:firstLine="68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акустической эмиссии</w:t>
      </w:r>
    </w:p>
    <w:p w:rsidR="00211D99" w:rsidRPr="00211D99" w:rsidRDefault="00211D99" w:rsidP="00211D99">
      <w:pPr>
        <w:spacing w:after="0" w:line="240" w:lineRule="auto"/>
        <w:ind w:firstLine="680"/>
        <w:jc w:val="center"/>
        <w:rPr>
          <w:rFonts w:ascii="Times New Roman" w:eastAsia="Times New Roman" w:hAnsi="Times New Roman" w:cs="Times New Roman"/>
          <w:sz w:val="26"/>
          <w:szCs w:val="26"/>
          <w:lang w:eastAsia="ru-RU"/>
        </w:rPr>
      </w:pPr>
    </w:p>
    <w:p w:rsidR="00401D99" w:rsidRPr="00401D99" w:rsidRDefault="00401D99" w:rsidP="00401D99">
      <w:pPr>
        <w:spacing w:after="0" w:line="360" w:lineRule="auto"/>
        <w:ind w:firstLine="680"/>
        <w:jc w:val="both"/>
        <w:rPr>
          <w:rFonts w:ascii="Times New Roman" w:eastAsia="Times New Roman" w:hAnsi="Times New Roman" w:cs="Times New Roman"/>
          <w:sz w:val="28"/>
          <w:szCs w:val="28"/>
          <w:lang w:eastAsia="ru-RU"/>
        </w:rPr>
      </w:pPr>
      <w:r w:rsidRPr="00401D99">
        <w:rPr>
          <w:rFonts w:ascii="Times New Roman" w:eastAsia="Times New Roman" w:hAnsi="Times New Roman" w:cs="Times New Roman"/>
          <w:sz w:val="28"/>
          <w:szCs w:val="28"/>
          <w:lang w:eastAsia="ru-RU"/>
        </w:rPr>
        <w:t>Визуально процесс легко контролировать при использовании спектрального представления виброграммы, когда интенсивность сигнала отмечается различными цветами. Известно, что во время кипения пузырьки пара издают звук, интенсивность которого зависит от температуры исследуемого вещества. Полученный энергетический спектр звукового шума (рис</w:t>
      </w:r>
      <w:r w:rsidR="00562C0B">
        <w:rPr>
          <w:rFonts w:ascii="Times New Roman" w:eastAsia="Times New Roman" w:hAnsi="Times New Roman" w:cs="Times New Roman"/>
          <w:sz w:val="28"/>
          <w:szCs w:val="28"/>
          <w:lang w:eastAsia="ru-RU"/>
        </w:rPr>
        <w:t>. 3.</w:t>
      </w:r>
      <w:r w:rsidRPr="00401D99">
        <w:rPr>
          <w:rFonts w:ascii="Times New Roman" w:eastAsia="Times New Roman" w:hAnsi="Times New Roman" w:cs="Times New Roman"/>
          <w:sz w:val="28"/>
          <w:szCs w:val="28"/>
          <w:lang w:eastAsia="ru-RU"/>
        </w:rPr>
        <w:t xml:space="preserve">) показывает, как изменяется звуковое давление при формировании ячеистой структуры в режиме кипения. Это позволяет контролировать образование порового пространства при применении различных режимов формования. </w:t>
      </w:r>
      <w:r w:rsidR="009062CB" w:rsidRPr="00401D99">
        <w:rPr>
          <w:rFonts w:ascii="Times New Roman" w:eastAsia="Times New Roman" w:hAnsi="Times New Roman" w:cs="Times New Roman"/>
          <w:sz w:val="28"/>
          <w:szCs w:val="20"/>
          <w:lang w:eastAsia="ru-RU"/>
        </w:rPr>
        <w:object w:dxaOrig="10086" w:dyaOrig="5343">
          <v:shape id="_x0000_i1030" type="#_x0000_t75" style="width:481.4pt;height:255.35pt" o:ole="">
            <v:imagedata r:id="rId19" o:title=""/>
          </v:shape>
          <o:OLEObject Type="Embed" ProgID="Photoshop.Image.5" ShapeID="_x0000_i1030" DrawAspect="Content" ObjectID="_1731999720" r:id="rId20">
            <o:FieldCodes>\s</o:FieldCodes>
          </o:OLEObject>
        </w:object>
      </w:r>
    </w:p>
    <w:p w:rsidR="00401D99" w:rsidRPr="00401D99" w:rsidRDefault="00401D99" w:rsidP="00401D99">
      <w:pPr>
        <w:spacing w:after="0" w:line="360" w:lineRule="auto"/>
        <w:jc w:val="center"/>
        <w:rPr>
          <w:rFonts w:ascii="Times New Roman" w:eastAsia="Times New Roman" w:hAnsi="Times New Roman" w:cs="Times New Roman"/>
          <w:sz w:val="26"/>
          <w:szCs w:val="26"/>
          <w:lang w:eastAsia="ru-RU"/>
        </w:rPr>
      </w:pPr>
      <w:r w:rsidRPr="00401D99">
        <w:rPr>
          <w:rFonts w:ascii="Times New Roman" w:eastAsia="Times New Roman" w:hAnsi="Times New Roman" w:cs="Times New Roman"/>
          <w:sz w:val="26"/>
          <w:szCs w:val="26"/>
          <w:lang w:eastAsia="ru-RU"/>
        </w:rPr>
        <w:t xml:space="preserve">Рис. </w:t>
      </w:r>
      <w:r w:rsidR="00562C0B">
        <w:rPr>
          <w:rFonts w:ascii="Times New Roman" w:eastAsia="Times New Roman" w:hAnsi="Times New Roman" w:cs="Times New Roman"/>
          <w:sz w:val="26"/>
          <w:szCs w:val="26"/>
          <w:lang w:eastAsia="ru-RU"/>
        </w:rPr>
        <w:t>3</w:t>
      </w:r>
      <w:r w:rsidRPr="00401D99">
        <w:rPr>
          <w:rFonts w:ascii="Times New Roman" w:eastAsia="Times New Roman" w:hAnsi="Times New Roman" w:cs="Times New Roman"/>
          <w:sz w:val="26"/>
          <w:szCs w:val="26"/>
          <w:lang w:eastAsia="ru-RU"/>
        </w:rPr>
        <w:t>. - Энергетический спектр звука.</w:t>
      </w:r>
    </w:p>
    <w:p w:rsidR="00B5031D" w:rsidRDefault="00B5031D" w:rsidP="00211D99">
      <w:pPr>
        <w:spacing w:after="0" w:line="240" w:lineRule="auto"/>
        <w:ind w:firstLine="709"/>
        <w:jc w:val="both"/>
        <w:rPr>
          <w:rFonts w:ascii="Times New Roman" w:eastAsia="Times New Roman" w:hAnsi="Times New Roman" w:cs="Times New Roman"/>
          <w:sz w:val="28"/>
          <w:szCs w:val="28"/>
          <w:lang w:val="en-US" w:eastAsia="ru-RU"/>
        </w:rPr>
      </w:pPr>
    </w:p>
    <w:p w:rsidR="00401D99" w:rsidRPr="00401D99" w:rsidRDefault="00401D99" w:rsidP="00401D99">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t xml:space="preserve">В работе при контроле технологического процесса образования пор, предложено применить измерение акустической эмиссии в звуковом диапазоне частот, что позволило четко фиксировать картину всех звуковых параметров кипения и анализировать образование пористых структур. </w:t>
      </w:r>
    </w:p>
    <w:p w:rsidR="00401D99" w:rsidRPr="00401D99" w:rsidRDefault="00401D99" w:rsidP="00725C89">
      <w:pPr>
        <w:spacing w:after="0" w:line="360" w:lineRule="auto"/>
        <w:ind w:firstLine="709"/>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t xml:space="preserve">При изучении шумов кипения применяются четыре вида измерений: </w:t>
      </w:r>
    </w:p>
    <w:p w:rsidR="00401D99" w:rsidRPr="00401D99" w:rsidRDefault="00725C89" w:rsidP="00725C89">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01D99" w:rsidRPr="00401D99">
        <w:rPr>
          <w:rFonts w:ascii="Times New Roman" w:eastAsia="Times New Roman" w:hAnsi="Times New Roman" w:cs="Times New Roman"/>
          <w:sz w:val="28"/>
          <w:szCs w:val="20"/>
          <w:lang w:eastAsia="ru-RU"/>
        </w:rPr>
        <w:t xml:space="preserve">интегральной интенсивности в заданной полосе частот, </w:t>
      </w:r>
    </w:p>
    <w:p w:rsidR="00401D99" w:rsidRPr="00401D99" w:rsidRDefault="00725C89" w:rsidP="00725C89">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01D99" w:rsidRPr="00401D99">
        <w:rPr>
          <w:rFonts w:ascii="Times New Roman" w:eastAsia="Times New Roman" w:hAnsi="Times New Roman" w:cs="Times New Roman"/>
          <w:sz w:val="28"/>
          <w:szCs w:val="20"/>
          <w:lang w:eastAsia="ru-RU"/>
        </w:rPr>
        <w:t>звуковых импульсов, порождаемых отдельными пузырьками пара,</w:t>
      </w:r>
    </w:p>
    <w:p w:rsidR="00401D99" w:rsidRPr="00401D99" w:rsidRDefault="00725C89" w:rsidP="00725C89">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01D99" w:rsidRPr="00401D99">
        <w:rPr>
          <w:rFonts w:ascii="Times New Roman" w:eastAsia="Times New Roman" w:hAnsi="Times New Roman" w:cs="Times New Roman"/>
          <w:sz w:val="28"/>
          <w:szCs w:val="20"/>
          <w:lang w:eastAsia="ru-RU"/>
        </w:rPr>
        <w:t>частотного (энергетического) спектра шума,</w:t>
      </w:r>
    </w:p>
    <w:p w:rsidR="00401D99" w:rsidRPr="00401D99" w:rsidRDefault="00725C89" w:rsidP="00725C89">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01D99" w:rsidRPr="00401D99">
        <w:rPr>
          <w:rFonts w:ascii="Times New Roman" w:eastAsia="Times New Roman" w:hAnsi="Times New Roman" w:cs="Times New Roman"/>
          <w:sz w:val="28"/>
          <w:szCs w:val="20"/>
          <w:lang w:eastAsia="ru-RU"/>
        </w:rPr>
        <w:t>амплитудного спектра импульсов, генерируемых паровыми пузырьками.</w:t>
      </w:r>
    </w:p>
    <w:p w:rsidR="00401D99" w:rsidRPr="00401D99" w:rsidRDefault="00401D99" w:rsidP="00725C89">
      <w:pPr>
        <w:spacing w:after="0" w:line="360" w:lineRule="auto"/>
        <w:ind w:firstLine="680"/>
        <w:jc w:val="both"/>
        <w:rPr>
          <w:rFonts w:ascii="Times New Roman" w:eastAsia="Times New Roman" w:hAnsi="Times New Roman" w:cs="Times New Roman"/>
          <w:sz w:val="28"/>
          <w:szCs w:val="20"/>
          <w:lang w:eastAsia="ru-RU"/>
        </w:rPr>
      </w:pPr>
      <w:proofErr w:type="gramStart"/>
      <w:r w:rsidRPr="00401D99">
        <w:rPr>
          <w:rFonts w:ascii="Times New Roman" w:eastAsia="Times New Roman" w:hAnsi="Times New Roman" w:cs="Times New Roman"/>
          <w:sz w:val="28"/>
          <w:szCs w:val="20"/>
          <w:lang w:eastAsia="ru-RU"/>
        </w:rPr>
        <w:t>Звуковые импульсы, возникающие при образовании паровых пузырьков регистрировались</w:t>
      </w:r>
      <w:proofErr w:type="gramEnd"/>
      <w:r w:rsidRPr="00401D99">
        <w:rPr>
          <w:rFonts w:ascii="Times New Roman" w:eastAsia="Times New Roman" w:hAnsi="Times New Roman" w:cs="Times New Roman"/>
          <w:sz w:val="28"/>
          <w:szCs w:val="20"/>
          <w:lang w:eastAsia="ru-RU"/>
        </w:rPr>
        <w:t xml:space="preserve"> при помощи электретного микрофона, подающего сигнал на вход звуковой карты компьютера с характеристиками:</w:t>
      </w:r>
      <w:r w:rsidRPr="00401D99">
        <w:rPr>
          <w:rFonts w:ascii="Times New Roman" w:eastAsia="Times New Roman" w:hAnsi="Times New Roman" w:cs="Times New Roman"/>
          <w:sz w:val="28"/>
          <w:szCs w:val="20"/>
          <w:lang w:eastAsia="ru-RU"/>
        </w:rPr>
        <w:cr/>
        <w:t>-частотный диапазон 35Гц-16КГц,</w:t>
      </w:r>
      <w:r w:rsidRPr="00401D99">
        <w:rPr>
          <w:rFonts w:ascii="Times New Roman" w:eastAsia="Times New Roman" w:hAnsi="Times New Roman" w:cs="Times New Roman"/>
          <w:sz w:val="28"/>
          <w:szCs w:val="20"/>
          <w:lang w:eastAsia="ru-RU"/>
        </w:rPr>
        <w:cr/>
        <w:t>-полное сопротивление 2кОм,</w:t>
      </w:r>
      <w:r w:rsidRPr="00401D99">
        <w:rPr>
          <w:rFonts w:ascii="Times New Roman" w:eastAsia="Times New Roman" w:hAnsi="Times New Roman" w:cs="Times New Roman"/>
          <w:sz w:val="28"/>
          <w:szCs w:val="20"/>
          <w:lang w:eastAsia="ru-RU"/>
        </w:rPr>
        <w:cr/>
        <w:t>-максимальная входящая сила тока 0,5 мА,</w:t>
      </w:r>
      <w:r w:rsidRPr="00401D99">
        <w:rPr>
          <w:rFonts w:ascii="Times New Roman" w:eastAsia="Times New Roman" w:hAnsi="Times New Roman" w:cs="Times New Roman"/>
          <w:sz w:val="28"/>
          <w:szCs w:val="20"/>
          <w:lang w:eastAsia="ru-RU"/>
        </w:rPr>
        <w:cr/>
        <w:t>-чувствительность 0дБ=1В/Ра на 1КГц-68дБ.</w:t>
      </w:r>
    </w:p>
    <w:p w:rsidR="00401D99" w:rsidRPr="00401D99" w:rsidRDefault="00401D99" w:rsidP="00A62D99">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lastRenderedPageBreak/>
        <w:t xml:space="preserve">Принимаемый сигнал преобразуется встроенным кодеком звуковой карты с частотой дискретизации 44.1 КГц, 16 бит, моно. Такой частоты оказалось достаточно для анализа спектра шумов, излучаемых при кипении. Естественно, при записи недопустимо применение сжимающих алгоритмов,   так как они внесут дополнительную погрешность, поэтому сигнал записывался в </w:t>
      </w:r>
      <w:proofErr w:type="spellStart"/>
      <w:r w:rsidRPr="00401D99">
        <w:rPr>
          <w:rFonts w:ascii="Times New Roman" w:eastAsia="Times New Roman" w:hAnsi="Times New Roman" w:cs="Times New Roman"/>
          <w:sz w:val="28"/>
          <w:szCs w:val="20"/>
          <w:lang w:eastAsia="ru-RU"/>
        </w:rPr>
        <w:t>wav</w:t>
      </w:r>
      <w:proofErr w:type="spellEnd"/>
      <w:r w:rsidRPr="00401D99">
        <w:rPr>
          <w:rFonts w:ascii="Times New Roman" w:eastAsia="Times New Roman" w:hAnsi="Times New Roman" w:cs="Times New Roman"/>
          <w:sz w:val="28"/>
          <w:szCs w:val="20"/>
          <w:lang w:eastAsia="ru-RU"/>
        </w:rPr>
        <w:t>-формате (</w:t>
      </w:r>
      <w:proofErr w:type="spellStart"/>
      <w:r w:rsidRPr="00401D99">
        <w:rPr>
          <w:rFonts w:ascii="Times New Roman" w:eastAsia="Times New Roman" w:hAnsi="Times New Roman" w:cs="Times New Roman"/>
          <w:sz w:val="28"/>
          <w:szCs w:val="20"/>
          <w:lang w:eastAsia="ru-RU"/>
        </w:rPr>
        <w:t>Windows</w:t>
      </w:r>
      <w:proofErr w:type="spellEnd"/>
      <w:r w:rsidRPr="00401D99">
        <w:rPr>
          <w:rFonts w:ascii="Times New Roman" w:eastAsia="Times New Roman" w:hAnsi="Times New Roman" w:cs="Times New Roman"/>
          <w:sz w:val="28"/>
          <w:szCs w:val="20"/>
          <w:lang w:eastAsia="ru-RU"/>
        </w:rPr>
        <w:t xml:space="preserve"> PCM). При этом файл, записывающий двухминутный процесс структурообразования занимает 10-12Мб.</w:t>
      </w:r>
    </w:p>
    <w:p w:rsidR="00401D99" w:rsidRPr="00401D99" w:rsidRDefault="00401D99" w:rsidP="00401D99">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t xml:space="preserve">Известно, что во время кипения пузырьки пара издают звук, интенсивность которого зависит от  температуры исследуемого вещества. Полученный энергетический спектр звукового шума (рис. </w:t>
      </w:r>
      <w:r w:rsidR="00646CD5">
        <w:rPr>
          <w:rFonts w:ascii="Times New Roman" w:eastAsia="Times New Roman" w:hAnsi="Times New Roman" w:cs="Times New Roman"/>
          <w:sz w:val="28"/>
          <w:szCs w:val="20"/>
          <w:lang w:eastAsia="ru-RU"/>
        </w:rPr>
        <w:t>4</w:t>
      </w:r>
      <w:r w:rsidRPr="00401D99">
        <w:rPr>
          <w:rFonts w:ascii="Times New Roman" w:eastAsia="Times New Roman" w:hAnsi="Times New Roman" w:cs="Times New Roman"/>
          <w:sz w:val="28"/>
          <w:szCs w:val="20"/>
          <w:lang w:eastAsia="ru-RU"/>
        </w:rPr>
        <w:t xml:space="preserve">.) показывает, как изменяется звуковое давление  при формировании ячеистой структуры в режиме кипения. Это позволяет контролировать образование порового пространства при применении различных режимов формования. </w:t>
      </w:r>
    </w:p>
    <w:p w:rsidR="00401D99" w:rsidRPr="00401D99" w:rsidRDefault="00401D99" w:rsidP="00401D99">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t xml:space="preserve">Согласно </w:t>
      </w:r>
      <w:proofErr w:type="spellStart"/>
      <w:r w:rsidRPr="00401D99">
        <w:rPr>
          <w:rFonts w:ascii="Times New Roman" w:eastAsia="Times New Roman" w:hAnsi="Times New Roman" w:cs="Times New Roman"/>
          <w:sz w:val="28"/>
          <w:szCs w:val="20"/>
          <w:lang w:eastAsia="ru-RU"/>
        </w:rPr>
        <w:t>Х.Тейлора</w:t>
      </w:r>
      <w:proofErr w:type="spellEnd"/>
      <w:r w:rsidRPr="00401D99">
        <w:rPr>
          <w:rFonts w:ascii="Times New Roman" w:eastAsia="Times New Roman" w:hAnsi="Times New Roman" w:cs="Times New Roman"/>
          <w:sz w:val="28"/>
          <w:szCs w:val="20"/>
          <w:lang w:eastAsia="ru-RU"/>
        </w:rPr>
        <w:t>, для оптимальной степени гидратации, температура цементного связующего не должна превышать 90</w:t>
      </w:r>
      <w:r w:rsidRPr="00401D99">
        <w:rPr>
          <w:rFonts w:ascii="Times New Roman" w:eastAsia="Times New Roman" w:hAnsi="Times New Roman" w:cs="Times New Roman"/>
          <w:sz w:val="28"/>
          <w:szCs w:val="20"/>
          <w:vertAlign w:val="superscript"/>
          <w:lang w:eastAsia="ru-RU"/>
        </w:rPr>
        <w:t>0</w:t>
      </w:r>
      <w:r w:rsidRPr="00401D99">
        <w:rPr>
          <w:rFonts w:ascii="Times New Roman" w:eastAsia="Times New Roman" w:hAnsi="Times New Roman" w:cs="Times New Roman"/>
          <w:sz w:val="28"/>
          <w:szCs w:val="20"/>
          <w:lang w:eastAsia="ru-RU"/>
        </w:rPr>
        <w:t>С. Температура кипения воды при порообразовании в материале, в СВЧ-поле, равна 100</w:t>
      </w:r>
      <w:r w:rsidRPr="00401D99">
        <w:rPr>
          <w:rFonts w:ascii="Times New Roman" w:eastAsia="Times New Roman" w:hAnsi="Times New Roman" w:cs="Times New Roman"/>
          <w:sz w:val="28"/>
          <w:szCs w:val="20"/>
          <w:vertAlign w:val="superscript"/>
          <w:lang w:eastAsia="ru-RU"/>
        </w:rPr>
        <w:t>0</w:t>
      </w:r>
      <w:r w:rsidRPr="00401D99">
        <w:rPr>
          <w:rFonts w:ascii="Times New Roman" w:eastAsia="Times New Roman" w:hAnsi="Times New Roman" w:cs="Times New Roman"/>
          <w:sz w:val="28"/>
          <w:szCs w:val="20"/>
          <w:lang w:eastAsia="ru-RU"/>
        </w:rPr>
        <w:t xml:space="preserve">С. В бинарной системе, согласно теории </w:t>
      </w:r>
      <w:proofErr w:type="spellStart"/>
      <w:r w:rsidRPr="00401D99">
        <w:rPr>
          <w:rFonts w:ascii="Times New Roman" w:eastAsia="Times New Roman" w:hAnsi="Times New Roman" w:cs="Times New Roman"/>
          <w:sz w:val="28"/>
          <w:szCs w:val="20"/>
          <w:lang w:eastAsia="ru-RU"/>
        </w:rPr>
        <w:t>А.В.Лыкова</w:t>
      </w:r>
      <w:proofErr w:type="spellEnd"/>
      <w:r w:rsidRPr="00401D99">
        <w:rPr>
          <w:rFonts w:ascii="Times New Roman" w:eastAsia="Times New Roman" w:hAnsi="Times New Roman" w:cs="Times New Roman"/>
          <w:sz w:val="28"/>
          <w:szCs w:val="20"/>
          <w:lang w:eastAsia="ru-RU"/>
        </w:rPr>
        <w:t>, свободная вода закипает раньше, чем  весь раствор. На начальном отрезке времени от 0 до 20 секунд (рис. 3) показан шумовой фон печи, который составляет 5,8-</w:t>
      </w:r>
      <w:proofErr w:type="spellStart"/>
      <w:r w:rsidRPr="00401D99">
        <w:rPr>
          <w:rFonts w:ascii="Times New Roman" w:eastAsia="Times New Roman" w:hAnsi="Times New Roman" w:cs="Times New Roman"/>
          <w:sz w:val="28"/>
          <w:szCs w:val="20"/>
          <w:lang w:val="en-US" w:eastAsia="ru-RU"/>
        </w:rPr>
        <w:t>db</w:t>
      </w:r>
      <w:proofErr w:type="spellEnd"/>
      <w:r w:rsidRPr="00401D99">
        <w:rPr>
          <w:rFonts w:ascii="Times New Roman" w:eastAsia="Times New Roman" w:hAnsi="Times New Roman" w:cs="Times New Roman"/>
          <w:sz w:val="28"/>
          <w:szCs w:val="20"/>
          <w:lang w:eastAsia="ru-RU"/>
        </w:rPr>
        <w:t>, затем, в точке 25 сек наблюдается всплеск звукового давления, который указывает на то, что вода начала кипеть. При этом средняя температура материала (кривая 2) достигла всего 50</w:t>
      </w:r>
      <w:r w:rsidRPr="00401D99">
        <w:rPr>
          <w:rFonts w:ascii="Times New Roman" w:eastAsia="Times New Roman" w:hAnsi="Times New Roman" w:cs="Times New Roman"/>
          <w:sz w:val="28"/>
          <w:szCs w:val="20"/>
          <w:vertAlign w:val="superscript"/>
          <w:lang w:eastAsia="ru-RU"/>
        </w:rPr>
        <w:t>0</w:t>
      </w:r>
      <w:r w:rsidRPr="00401D99">
        <w:rPr>
          <w:rFonts w:ascii="Times New Roman" w:eastAsia="Times New Roman" w:hAnsi="Times New Roman" w:cs="Times New Roman"/>
          <w:sz w:val="28"/>
          <w:szCs w:val="20"/>
          <w:lang w:eastAsia="ru-RU"/>
        </w:rPr>
        <w:t>С, что позволяет нам не превышая температуру гидратации, оставлять часть воды для дальнейшего роста прочности.</w:t>
      </w:r>
    </w:p>
    <w:p w:rsidR="00401D99" w:rsidRPr="00401D99" w:rsidRDefault="00401D99" w:rsidP="00401D99">
      <w:pPr>
        <w:spacing w:after="0" w:line="360" w:lineRule="auto"/>
        <w:ind w:firstLine="680"/>
        <w:jc w:val="both"/>
        <w:rPr>
          <w:rFonts w:ascii="Times New Roman" w:eastAsia="Times New Roman" w:hAnsi="Times New Roman" w:cs="Times New Roman"/>
          <w:sz w:val="28"/>
          <w:szCs w:val="20"/>
          <w:lang w:eastAsia="ru-RU"/>
        </w:rPr>
      </w:pPr>
      <w:r w:rsidRPr="00401D99">
        <w:rPr>
          <w:rFonts w:ascii="Times New Roman" w:eastAsia="Times New Roman" w:hAnsi="Times New Roman" w:cs="Times New Roman"/>
          <w:sz w:val="28"/>
          <w:szCs w:val="20"/>
          <w:lang w:eastAsia="ru-RU"/>
        </w:rPr>
        <w:t xml:space="preserve"> В зависимости от области использования получаемого пористого материала, можно регулировать параметры его порового пространства, так как для теплоизоляционных материалов необходимо иметь большее количество закрытых пор, а отделочных  звукопоглощающих материалов  больше – открытых пор.  Для контроля порообразования был получен график зависимости образования пористости (%) и давления звука от времени </w:t>
      </w:r>
      <w:r w:rsidRPr="00401D99">
        <w:rPr>
          <w:rFonts w:ascii="Times New Roman" w:eastAsia="Times New Roman" w:hAnsi="Times New Roman" w:cs="Times New Roman"/>
          <w:sz w:val="28"/>
          <w:szCs w:val="20"/>
          <w:lang w:eastAsia="ru-RU"/>
        </w:rPr>
        <w:lastRenderedPageBreak/>
        <w:t xml:space="preserve">формования (рис. </w:t>
      </w:r>
      <w:r w:rsidR="00B218F2" w:rsidRPr="00B218F2">
        <w:rPr>
          <w:rFonts w:ascii="Times New Roman" w:eastAsia="Times New Roman" w:hAnsi="Times New Roman" w:cs="Times New Roman"/>
          <w:sz w:val="28"/>
          <w:szCs w:val="20"/>
          <w:lang w:eastAsia="ru-RU"/>
        </w:rPr>
        <w:t>6</w:t>
      </w:r>
      <w:r w:rsidRPr="00401D99">
        <w:rPr>
          <w:rFonts w:ascii="Times New Roman" w:eastAsia="Times New Roman" w:hAnsi="Times New Roman" w:cs="Times New Roman"/>
          <w:sz w:val="28"/>
          <w:szCs w:val="20"/>
          <w:lang w:eastAsia="ru-RU"/>
        </w:rPr>
        <w:t xml:space="preserve">, рис. </w:t>
      </w:r>
      <w:r w:rsidR="00B218F2" w:rsidRPr="00B218F2">
        <w:rPr>
          <w:rFonts w:ascii="Times New Roman" w:eastAsia="Times New Roman" w:hAnsi="Times New Roman" w:cs="Times New Roman"/>
          <w:sz w:val="28"/>
          <w:szCs w:val="20"/>
          <w:lang w:eastAsia="ru-RU"/>
        </w:rPr>
        <w:t>7</w:t>
      </w:r>
      <w:r w:rsidRPr="00401D99">
        <w:rPr>
          <w:rFonts w:ascii="Times New Roman" w:eastAsia="Times New Roman" w:hAnsi="Times New Roman" w:cs="Times New Roman"/>
          <w:sz w:val="28"/>
          <w:szCs w:val="20"/>
          <w:lang w:eastAsia="ru-RU"/>
        </w:rPr>
        <w:t xml:space="preserve">). Анализ экспериментальных кривых показал, что с увеличением давления звука общая пористость возрастает. На участке 45-75 </w:t>
      </w:r>
      <w:proofErr w:type="gramStart"/>
      <w:r w:rsidRPr="00401D99">
        <w:rPr>
          <w:rFonts w:ascii="Times New Roman" w:eastAsia="Times New Roman" w:hAnsi="Times New Roman" w:cs="Times New Roman"/>
          <w:sz w:val="28"/>
          <w:szCs w:val="20"/>
          <w:lang w:eastAsia="ru-RU"/>
        </w:rPr>
        <w:t>сек</w:t>
      </w:r>
      <w:proofErr w:type="gramEnd"/>
      <w:r w:rsidRPr="00401D99">
        <w:rPr>
          <w:rFonts w:ascii="Times New Roman" w:eastAsia="Times New Roman" w:hAnsi="Times New Roman" w:cs="Times New Roman"/>
          <w:sz w:val="28"/>
          <w:szCs w:val="20"/>
          <w:lang w:eastAsia="ru-RU"/>
        </w:rPr>
        <w:t xml:space="preserve"> наблюдается спад интенсивности энергетического спектра, давление звука падает с 9,5-</w:t>
      </w:r>
      <w:proofErr w:type="spellStart"/>
      <w:r w:rsidRPr="00401D99">
        <w:rPr>
          <w:rFonts w:ascii="Times New Roman" w:eastAsia="Times New Roman" w:hAnsi="Times New Roman" w:cs="Times New Roman"/>
          <w:sz w:val="28"/>
          <w:szCs w:val="20"/>
          <w:lang w:val="en-US" w:eastAsia="ru-RU"/>
        </w:rPr>
        <w:t>db</w:t>
      </w:r>
      <w:proofErr w:type="spellEnd"/>
      <w:r w:rsidRPr="00401D99">
        <w:rPr>
          <w:rFonts w:ascii="Times New Roman" w:eastAsia="Times New Roman" w:hAnsi="Times New Roman" w:cs="Times New Roman"/>
          <w:sz w:val="28"/>
          <w:szCs w:val="20"/>
          <w:lang w:eastAsia="ru-RU"/>
        </w:rPr>
        <w:t xml:space="preserve">  до  6,7-</w:t>
      </w:r>
      <w:proofErr w:type="spellStart"/>
      <w:r w:rsidRPr="00401D99">
        <w:rPr>
          <w:rFonts w:ascii="Times New Roman" w:eastAsia="Times New Roman" w:hAnsi="Times New Roman" w:cs="Times New Roman"/>
          <w:sz w:val="28"/>
          <w:szCs w:val="20"/>
          <w:lang w:val="en-US" w:eastAsia="ru-RU"/>
        </w:rPr>
        <w:t>db</w:t>
      </w:r>
      <w:proofErr w:type="spellEnd"/>
      <w:r w:rsidRPr="00401D99">
        <w:rPr>
          <w:rFonts w:ascii="Times New Roman" w:eastAsia="Times New Roman" w:hAnsi="Times New Roman" w:cs="Times New Roman"/>
          <w:sz w:val="28"/>
          <w:szCs w:val="20"/>
          <w:lang w:eastAsia="ru-RU"/>
        </w:rPr>
        <w:t xml:space="preserve"> . Это связано с тем, что избыточное количество влаги испарилось, что приводит к увеличению жесткости системы и началу образования наибольшего объема закрытых пор. Это отображено на рисунке 4. При дальнейшем нагреве температура образца повышается до 90</w:t>
      </w:r>
      <w:r w:rsidRPr="00401D99">
        <w:rPr>
          <w:rFonts w:ascii="Times New Roman" w:eastAsia="Times New Roman" w:hAnsi="Times New Roman" w:cs="Times New Roman"/>
          <w:sz w:val="28"/>
          <w:szCs w:val="20"/>
          <w:vertAlign w:val="superscript"/>
          <w:lang w:eastAsia="ru-RU"/>
        </w:rPr>
        <w:t>0</w:t>
      </w:r>
      <w:r w:rsidRPr="00401D99">
        <w:rPr>
          <w:rFonts w:ascii="Times New Roman" w:eastAsia="Times New Roman" w:hAnsi="Times New Roman" w:cs="Times New Roman"/>
          <w:sz w:val="28"/>
          <w:szCs w:val="20"/>
          <w:lang w:eastAsia="ru-RU"/>
        </w:rPr>
        <w:t xml:space="preserve">С, время нагрева – 75-110 сек,  - начинается </w:t>
      </w:r>
      <w:proofErr w:type="spellStart"/>
      <w:r w:rsidRPr="00401D99">
        <w:rPr>
          <w:rFonts w:ascii="Times New Roman" w:eastAsia="Times New Roman" w:hAnsi="Times New Roman" w:cs="Times New Roman"/>
          <w:sz w:val="28"/>
          <w:szCs w:val="20"/>
          <w:lang w:eastAsia="ru-RU"/>
        </w:rPr>
        <w:t>тепломассообмен</w:t>
      </w:r>
      <w:proofErr w:type="spellEnd"/>
      <w:r w:rsidRPr="00401D99">
        <w:rPr>
          <w:rFonts w:ascii="Times New Roman" w:eastAsia="Times New Roman" w:hAnsi="Times New Roman" w:cs="Times New Roman"/>
          <w:sz w:val="28"/>
          <w:szCs w:val="20"/>
          <w:lang w:eastAsia="ru-RU"/>
        </w:rPr>
        <w:t xml:space="preserve"> всей системы. Пузырьки пара, с трудом преодолевая сопротивление образовавшей матрицы, выходят на поверхность образца. При этом образуются открытые поры, так как подвижность системы резко уменьшилась и становится невозможным  «захлопывание» образовавшегося пространства (рис.</w:t>
      </w:r>
      <w:r w:rsidR="00B218F2" w:rsidRPr="00B218F2">
        <w:rPr>
          <w:rFonts w:ascii="Times New Roman" w:eastAsia="Times New Roman" w:hAnsi="Times New Roman" w:cs="Times New Roman"/>
          <w:sz w:val="28"/>
          <w:szCs w:val="20"/>
          <w:lang w:eastAsia="ru-RU"/>
        </w:rPr>
        <w:t>6</w:t>
      </w:r>
      <w:r w:rsidRPr="00401D99">
        <w:rPr>
          <w:rFonts w:ascii="Times New Roman" w:eastAsia="Times New Roman" w:hAnsi="Times New Roman" w:cs="Times New Roman"/>
          <w:sz w:val="28"/>
          <w:szCs w:val="20"/>
          <w:lang w:eastAsia="ru-RU"/>
        </w:rPr>
        <w:t>). Данный процесс вызывает новый пик звукового давления -  9-</w:t>
      </w:r>
      <w:proofErr w:type="spellStart"/>
      <w:r w:rsidRPr="00401D99">
        <w:rPr>
          <w:rFonts w:ascii="Times New Roman" w:eastAsia="Times New Roman" w:hAnsi="Times New Roman" w:cs="Times New Roman"/>
          <w:sz w:val="28"/>
          <w:szCs w:val="20"/>
          <w:lang w:val="en-US" w:eastAsia="ru-RU"/>
        </w:rPr>
        <w:t>db</w:t>
      </w:r>
      <w:proofErr w:type="spellEnd"/>
      <w:r w:rsidRPr="00401D99">
        <w:rPr>
          <w:rFonts w:ascii="Times New Roman" w:eastAsia="Times New Roman" w:hAnsi="Times New Roman" w:cs="Times New Roman"/>
          <w:sz w:val="28"/>
          <w:szCs w:val="20"/>
          <w:lang w:eastAsia="ru-RU"/>
        </w:rPr>
        <w:t xml:space="preserve"> , время нагрева – 75-80 сек. Далее звуковое давление уменьшается, так как отток пара происходит в результате фильтрации матрицы образца и выходит образовавшиеся открытые поры, т.е. начался процесс сушки. Это отрицательно влияет на получаемый материал, так как недостаточное количество гидратационной воды приводит к уменьшению прочности цементного камня. На рисунке </w:t>
      </w:r>
      <w:r w:rsidR="00B218F2" w:rsidRPr="00B218F2">
        <w:rPr>
          <w:rFonts w:ascii="Times New Roman" w:eastAsia="Times New Roman" w:hAnsi="Times New Roman" w:cs="Times New Roman"/>
          <w:sz w:val="28"/>
          <w:szCs w:val="20"/>
          <w:lang w:eastAsia="ru-RU"/>
        </w:rPr>
        <w:t xml:space="preserve">5 </w:t>
      </w:r>
      <w:r w:rsidRPr="00401D99">
        <w:rPr>
          <w:rFonts w:ascii="Times New Roman" w:eastAsia="Times New Roman" w:hAnsi="Times New Roman" w:cs="Times New Roman"/>
          <w:sz w:val="28"/>
          <w:szCs w:val="20"/>
          <w:lang w:eastAsia="ru-RU"/>
        </w:rPr>
        <w:t>показано изменение средней температуры и потери массы образца. Анализ экспериментальных кривых показал, что потери по массе начинаются с 25 секунд, при этом, температура образца достигает 40</w:t>
      </w:r>
      <w:r w:rsidRPr="00401D99">
        <w:rPr>
          <w:rFonts w:ascii="Times New Roman" w:eastAsia="Times New Roman" w:hAnsi="Times New Roman" w:cs="Times New Roman"/>
          <w:sz w:val="28"/>
          <w:szCs w:val="20"/>
          <w:vertAlign w:val="superscript"/>
          <w:lang w:eastAsia="ru-RU"/>
        </w:rPr>
        <w:t>0</w:t>
      </w:r>
      <w:r w:rsidRPr="00401D99">
        <w:rPr>
          <w:rFonts w:ascii="Times New Roman" w:eastAsia="Times New Roman" w:hAnsi="Times New Roman" w:cs="Times New Roman"/>
          <w:sz w:val="28"/>
          <w:szCs w:val="20"/>
          <w:lang w:eastAsia="ru-RU"/>
        </w:rPr>
        <w:t xml:space="preserve">С. Это подтверждает то, что кипение воды в исследуемой системе наступает раньше, чем происходит </w:t>
      </w:r>
      <w:proofErr w:type="spellStart"/>
      <w:r w:rsidRPr="00401D99">
        <w:rPr>
          <w:rFonts w:ascii="Times New Roman" w:eastAsia="Times New Roman" w:hAnsi="Times New Roman" w:cs="Times New Roman"/>
          <w:sz w:val="28"/>
          <w:szCs w:val="20"/>
          <w:lang w:eastAsia="ru-RU"/>
        </w:rPr>
        <w:t>тепломассообмен</w:t>
      </w:r>
      <w:proofErr w:type="spellEnd"/>
      <w:r w:rsidRPr="00401D99">
        <w:rPr>
          <w:rFonts w:ascii="Times New Roman" w:eastAsia="Times New Roman" w:hAnsi="Times New Roman" w:cs="Times New Roman"/>
          <w:sz w:val="28"/>
          <w:szCs w:val="20"/>
          <w:lang w:eastAsia="ru-RU"/>
        </w:rPr>
        <w:t xml:space="preserve"> всей системы. Анализ вышеизложенных результатов позволяет предложить новую технологию образования пористых материалов</w:t>
      </w:r>
      <w:proofErr w:type="gramStart"/>
      <w:r w:rsidRPr="00401D99">
        <w:rPr>
          <w:rFonts w:ascii="Times New Roman" w:eastAsia="Times New Roman" w:hAnsi="Times New Roman" w:cs="Times New Roman"/>
          <w:sz w:val="28"/>
          <w:szCs w:val="20"/>
          <w:lang w:eastAsia="ru-RU"/>
        </w:rPr>
        <w:t xml:space="preserve"> Н</w:t>
      </w:r>
      <w:proofErr w:type="gramEnd"/>
      <w:r w:rsidRPr="00401D99">
        <w:rPr>
          <w:rFonts w:ascii="Times New Roman" w:eastAsia="Times New Roman" w:hAnsi="Times New Roman" w:cs="Times New Roman"/>
          <w:sz w:val="28"/>
          <w:szCs w:val="20"/>
          <w:lang w:eastAsia="ru-RU"/>
        </w:rPr>
        <w:t>а основе данного метода СВЧ-формования ячеистых структур можно использовать средний температурный режим системы не превышающий оптимальной температуры гидратации. Используя метод акустической эмиссии можно контролировать параметры образования порового пространства структуры материалов.</w:t>
      </w:r>
    </w:p>
    <w:p w:rsidR="00401D99" w:rsidRPr="00401D99" w:rsidRDefault="00401D99" w:rsidP="00401D99">
      <w:pPr>
        <w:spacing w:after="0" w:line="360" w:lineRule="auto"/>
        <w:ind w:firstLine="680"/>
        <w:jc w:val="both"/>
        <w:rPr>
          <w:rFonts w:ascii="Times New Roman" w:eastAsia="Times New Roman" w:hAnsi="Times New Roman" w:cs="Times New Roman"/>
          <w:sz w:val="28"/>
          <w:szCs w:val="20"/>
          <w:lang w:eastAsia="ru-RU"/>
        </w:rPr>
      </w:pPr>
    </w:p>
    <w:p w:rsidR="00641518" w:rsidRDefault="00401D99" w:rsidP="00725C89">
      <w:pPr>
        <w:spacing w:after="0" w:line="240" w:lineRule="auto"/>
        <w:jc w:val="center"/>
        <w:rPr>
          <w:rFonts w:ascii="Times New Roman" w:eastAsia="Times New Roman" w:hAnsi="Times New Roman" w:cs="Times New Roman"/>
          <w:sz w:val="26"/>
          <w:szCs w:val="26"/>
          <w:lang w:eastAsia="ru-RU"/>
        </w:rPr>
      </w:pPr>
      <w:r w:rsidRPr="00401D99">
        <w:rPr>
          <w:rFonts w:ascii="Times New Roman" w:eastAsia="Times New Roman" w:hAnsi="Times New Roman" w:cs="Times New Roman"/>
          <w:noProof/>
          <w:sz w:val="28"/>
          <w:szCs w:val="20"/>
          <w:lang w:eastAsia="ru-RU"/>
        </w:rPr>
        <w:lastRenderedPageBreak/>
        <w:drawing>
          <wp:inline distT="0" distB="0" distL="0" distR="0">
            <wp:extent cx="6124575" cy="40290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41518" w:rsidRDefault="00641518" w:rsidP="00725C89">
      <w:pPr>
        <w:spacing w:after="0" w:line="240" w:lineRule="auto"/>
        <w:jc w:val="center"/>
        <w:rPr>
          <w:rFonts w:ascii="Times New Roman" w:eastAsia="Times New Roman" w:hAnsi="Times New Roman" w:cs="Times New Roman"/>
          <w:sz w:val="26"/>
          <w:szCs w:val="26"/>
          <w:lang w:eastAsia="ru-RU"/>
        </w:rPr>
      </w:pPr>
    </w:p>
    <w:p w:rsidR="00401D99" w:rsidRDefault="00401D99" w:rsidP="00725C89">
      <w:pPr>
        <w:spacing w:after="0" w:line="240" w:lineRule="auto"/>
        <w:jc w:val="center"/>
        <w:rPr>
          <w:rFonts w:ascii="Times New Roman" w:eastAsia="Times New Roman" w:hAnsi="Times New Roman" w:cs="Times New Roman"/>
          <w:sz w:val="26"/>
          <w:szCs w:val="26"/>
          <w:lang w:eastAsia="ru-RU"/>
        </w:rPr>
      </w:pPr>
      <w:bookmarkStart w:id="0" w:name="_GoBack"/>
      <w:bookmarkEnd w:id="0"/>
      <w:r w:rsidRPr="00725C89">
        <w:rPr>
          <w:rFonts w:ascii="Times New Roman" w:eastAsia="Times New Roman" w:hAnsi="Times New Roman" w:cs="Times New Roman"/>
          <w:sz w:val="26"/>
          <w:szCs w:val="26"/>
          <w:lang w:eastAsia="ru-RU"/>
        </w:rPr>
        <w:t xml:space="preserve">Рис. </w:t>
      </w:r>
      <w:r w:rsidR="00B218F2" w:rsidRPr="00725C89">
        <w:rPr>
          <w:rFonts w:ascii="Times New Roman" w:eastAsia="Times New Roman" w:hAnsi="Times New Roman" w:cs="Times New Roman"/>
          <w:sz w:val="26"/>
          <w:szCs w:val="26"/>
          <w:lang w:eastAsia="ru-RU"/>
        </w:rPr>
        <w:t>4</w:t>
      </w:r>
      <w:r w:rsidRPr="00725C89">
        <w:rPr>
          <w:rFonts w:ascii="Times New Roman" w:eastAsia="Times New Roman" w:hAnsi="Times New Roman" w:cs="Times New Roman"/>
          <w:sz w:val="26"/>
          <w:szCs w:val="26"/>
          <w:lang w:eastAsia="ru-RU"/>
        </w:rPr>
        <w:t xml:space="preserve"> -  Звуковое давление и температура образца во время нагрева в СВЧ-поле.</w:t>
      </w:r>
    </w:p>
    <w:p w:rsidR="00725C89" w:rsidRPr="00725C89" w:rsidRDefault="00725C89" w:rsidP="00725C89">
      <w:pPr>
        <w:spacing w:after="0" w:line="240" w:lineRule="auto"/>
        <w:jc w:val="center"/>
        <w:rPr>
          <w:rFonts w:ascii="Times New Roman" w:eastAsia="Times New Roman" w:hAnsi="Times New Roman" w:cs="Times New Roman"/>
          <w:sz w:val="26"/>
          <w:szCs w:val="26"/>
          <w:lang w:eastAsia="ru-RU"/>
        </w:rPr>
      </w:pPr>
    </w:p>
    <w:p w:rsidR="00641518" w:rsidRDefault="00401D99" w:rsidP="00725C89">
      <w:pPr>
        <w:spacing w:after="0" w:line="360" w:lineRule="auto"/>
        <w:jc w:val="center"/>
        <w:rPr>
          <w:rFonts w:ascii="Times New Roman" w:eastAsia="Times New Roman" w:hAnsi="Times New Roman" w:cs="Times New Roman"/>
          <w:sz w:val="26"/>
          <w:szCs w:val="26"/>
          <w:lang w:eastAsia="ru-RU"/>
        </w:rPr>
      </w:pPr>
      <w:r w:rsidRPr="00401D99">
        <w:rPr>
          <w:rFonts w:ascii="Times New Roman" w:eastAsia="Times New Roman" w:hAnsi="Times New Roman" w:cs="Times New Roman"/>
          <w:noProof/>
          <w:sz w:val="28"/>
          <w:szCs w:val="20"/>
          <w:lang w:eastAsia="ru-RU"/>
        </w:rPr>
        <w:drawing>
          <wp:inline distT="0" distB="0" distL="0" distR="0">
            <wp:extent cx="6124575" cy="40290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1D99" w:rsidRPr="00725C89" w:rsidRDefault="00401D99" w:rsidP="00725C89">
      <w:pPr>
        <w:spacing w:after="0" w:line="360" w:lineRule="auto"/>
        <w:jc w:val="center"/>
        <w:rPr>
          <w:rFonts w:ascii="Times New Roman" w:eastAsia="Times New Roman" w:hAnsi="Times New Roman" w:cs="Times New Roman"/>
          <w:sz w:val="26"/>
          <w:szCs w:val="26"/>
          <w:lang w:eastAsia="ru-RU"/>
        </w:rPr>
      </w:pPr>
      <w:r w:rsidRPr="00725C89">
        <w:rPr>
          <w:rFonts w:ascii="Times New Roman" w:eastAsia="Times New Roman" w:hAnsi="Times New Roman" w:cs="Times New Roman"/>
          <w:sz w:val="26"/>
          <w:szCs w:val="26"/>
          <w:lang w:eastAsia="ru-RU"/>
        </w:rPr>
        <w:t>Рис. 5</w:t>
      </w:r>
      <w:r w:rsidR="00B218F2" w:rsidRPr="00725C89">
        <w:rPr>
          <w:rFonts w:ascii="Times New Roman" w:eastAsia="Times New Roman" w:hAnsi="Times New Roman" w:cs="Times New Roman"/>
          <w:sz w:val="26"/>
          <w:szCs w:val="26"/>
          <w:lang w:eastAsia="ru-RU"/>
        </w:rPr>
        <w:t xml:space="preserve"> </w:t>
      </w:r>
      <w:r w:rsidRPr="00725C89">
        <w:rPr>
          <w:rFonts w:ascii="Times New Roman" w:eastAsia="Times New Roman" w:hAnsi="Times New Roman" w:cs="Times New Roman"/>
          <w:sz w:val="26"/>
          <w:szCs w:val="26"/>
          <w:lang w:eastAsia="ru-RU"/>
        </w:rPr>
        <w:t xml:space="preserve"> Потеря массы</w:t>
      </w:r>
      <w:proofErr w:type="gramStart"/>
      <w:r w:rsidRPr="00725C89">
        <w:rPr>
          <w:rFonts w:ascii="Times New Roman" w:eastAsia="Times New Roman" w:hAnsi="Times New Roman" w:cs="Times New Roman"/>
          <w:sz w:val="26"/>
          <w:szCs w:val="26"/>
          <w:lang w:eastAsia="ru-RU"/>
        </w:rPr>
        <w:t xml:space="preserve"> (%) </w:t>
      </w:r>
      <w:proofErr w:type="gramEnd"/>
      <w:r w:rsidRPr="00725C89">
        <w:rPr>
          <w:rFonts w:ascii="Times New Roman" w:eastAsia="Times New Roman" w:hAnsi="Times New Roman" w:cs="Times New Roman"/>
          <w:sz w:val="26"/>
          <w:szCs w:val="26"/>
          <w:lang w:eastAsia="ru-RU"/>
        </w:rPr>
        <w:t>и средняя температура образца в СВЧ-поле.</w:t>
      </w:r>
    </w:p>
    <w:p w:rsidR="00401D99" w:rsidRPr="00401D99" w:rsidRDefault="00401D99" w:rsidP="00401D99">
      <w:pPr>
        <w:spacing w:after="0" w:line="360" w:lineRule="auto"/>
        <w:jc w:val="center"/>
        <w:rPr>
          <w:rFonts w:ascii="Times New Roman" w:eastAsia="Times New Roman" w:hAnsi="Times New Roman" w:cs="Times New Roman"/>
          <w:sz w:val="28"/>
          <w:szCs w:val="20"/>
          <w:lang w:eastAsia="ru-RU"/>
        </w:rPr>
      </w:pPr>
      <w:r w:rsidRPr="00401D99">
        <w:rPr>
          <w:rFonts w:ascii="Times New Roman" w:eastAsia="Times New Roman" w:hAnsi="Times New Roman" w:cs="Times New Roman"/>
          <w:noProof/>
          <w:sz w:val="28"/>
          <w:szCs w:val="20"/>
          <w:lang w:eastAsia="ru-RU"/>
        </w:rPr>
        <w:lastRenderedPageBreak/>
        <w:drawing>
          <wp:inline distT="0" distB="0" distL="0" distR="0">
            <wp:extent cx="5343525" cy="39147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1D99" w:rsidRPr="00725C89" w:rsidRDefault="00401D99" w:rsidP="00401D99">
      <w:pPr>
        <w:spacing w:after="0" w:line="360" w:lineRule="auto"/>
        <w:jc w:val="center"/>
        <w:rPr>
          <w:rFonts w:ascii="Times New Roman" w:eastAsia="Times New Roman" w:hAnsi="Times New Roman" w:cs="Times New Roman"/>
          <w:sz w:val="26"/>
          <w:szCs w:val="26"/>
          <w:lang w:eastAsia="ru-RU"/>
        </w:rPr>
      </w:pPr>
      <w:r w:rsidRPr="00725C89">
        <w:rPr>
          <w:rFonts w:ascii="Times New Roman" w:eastAsia="Times New Roman" w:hAnsi="Times New Roman" w:cs="Times New Roman"/>
          <w:sz w:val="26"/>
          <w:szCs w:val="26"/>
          <w:lang w:eastAsia="ru-RU"/>
        </w:rPr>
        <w:t>Рис.</w:t>
      </w:r>
      <w:r w:rsidR="00B218F2" w:rsidRPr="00725C89">
        <w:rPr>
          <w:rFonts w:ascii="Times New Roman" w:eastAsia="Times New Roman" w:hAnsi="Times New Roman" w:cs="Times New Roman"/>
          <w:sz w:val="26"/>
          <w:szCs w:val="26"/>
          <w:lang w:eastAsia="ru-RU"/>
        </w:rPr>
        <w:t>6</w:t>
      </w:r>
      <w:r w:rsidRPr="00725C89">
        <w:rPr>
          <w:rFonts w:ascii="Times New Roman" w:eastAsia="Times New Roman" w:hAnsi="Times New Roman" w:cs="Times New Roman"/>
          <w:sz w:val="26"/>
          <w:szCs w:val="26"/>
          <w:lang w:eastAsia="ru-RU"/>
        </w:rPr>
        <w:t xml:space="preserve"> - Звуковое давление (</w:t>
      </w:r>
      <w:proofErr w:type="spellStart"/>
      <w:r w:rsidRPr="00725C89">
        <w:rPr>
          <w:rFonts w:ascii="Times New Roman" w:eastAsia="Times New Roman" w:hAnsi="Times New Roman" w:cs="Times New Roman"/>
          <w:sz w:val="26"/>
          <w:szCs w:val="26"/>
          <w:lang w:val="en-US" w:eastAsia="ru-RU"/>
        </w:rPr>
        <w:t>db</w:t>
      </w:r>
      <w:proofErr w:type="spellEnd"/>
      <w:r w:rsidRPr="00725C89">
        <w:rPr>
          <w:rFonts w:ascii="Times New Roman" w:eastAsia="Times New Roman" w:hAnsi="Times New Roman" w:cs="Times New Roman"/>
          <w:sz w:val="26"/>
          <w:szCs w:val="26"/>
          <w:lang w:eastAsia="ru-RU"/>
        </w:rPr>
        <w:t>) и образование открытых пор во время нагрева.</w:t>
      </w:r>
    </w:p>
    <w:p w:rsidR="00401D99" w:rsidRPr="00401D99" w:rsidRDefault="00401D99" w:rsidP="00401D99">
      <w:pPr>
        <w:spacing w:after="0" w:line="360" w:lineRule="auto"/>
        <w:jc w:val="center"/>
        <w:rPr>
          <w:rFonts w:ascii="Times New Roman" w:eastAsia="Times New Roman" w:hAnsi="Times New Roman" w:cs="Times New Roman"/>
          <w:sz w:val="28"/>
          <w:szCs w:val="20"/>
          <w:lang w:eastAsia="ru-RU"/>
        </w:rPr>
      </w:pPr>
      <w:r w:rsidRPr="00401D99">
        <w:rPr>
          <w:rFonts w:ascii="Times New Roman" w:eastAsia="Times New Roman" w:hAnsi="Times New Roman" w:cs="Times New Roman"/>
          <w:noProof/>
          <w:sz w:val="28"/>
          <w:szCs w:val="20"/>
          <w:lang w:eastAsia="ru-RU"/>
        </w:rPr>
        <w:drawing>
          <wp:inline distT="0" distB="0" distL="0" distR="0">
            <wp:extent cx="5381625" cy="36195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01D99" w:rsidRPr="00725C89" w:rsidRDefault="00401D99" w:rsidP="00725C89">
      <w:pPr>
        <w:spacing w:after="0" w:line="240" w:lineRule="auto"/>
        <w:jc w:val="center"/>
        <w:rPr>
          <w:rFonts w:ascii="Times New Roman" w:eastAsia="Times New Roman" w:hAnsi="Times New Roman" w:cs="Times New Roman"/>
          <w:sz w:val="26"/>
          <w:szCs w:val="26"/>
          <w:lang w:eastAsia="ru-RU"/>
        </w:rPr>
      </w:pPr>
      <w:r w:rsidRPr="00725C89">
        <w:rPr>
          <w:rFonts w:ascii="Times New Roman" w:eastAsia="Times New Roman" w:hAnsi="Times New Roman" w:cs="Times New Roman"/>
          <w:sz w:val="26"/>
          <w:szCs w:val="26"/>
          <w:lang w:eastAsia="ru-RU"/>
        </w:rPr>
        <w:t xml:space="preserve">Рис. </w:t>
      </w:r>
      <w:r w:rsidR="00B218F2" w:rsidRPr="00725C89">
        <w:rPr>
          <w:rFonts w:ascii="Times New Roman" w:eastAsia="Times New Roman" w:hAnsi="Times New Roman" w:cs="Times New Roman"/>
          <w:sz w:val="26"/>
          <w:szCs w:val="26"/>
          <w:lang w:eastAsia="ru-RU"/>
        </w:rPr>
        <w:t xml:space="preserve">7 </w:t>
      </w:r>
      <w:r w:rsidRPr="00725C89">
        <w:rPr>
          <w:rFonts w:ascii="Times New Roman" w:eastAsia="Times New Roman" w:hAnsi="Times New Roman" w:cs="Times New Roman"/>
          <w:sz w:val="26"/>
          <w:szCs w:val="26"/>
          <w:lang w:eastAsia="ru-RU"/>
        </w:rPr>
        <w:t>- Звуковое давление (</w:t>
      </w:r>
      <w:proofErr w:type="spellStart"/>
      <w:r w:rsidRPr="00725C89">
        <w:rPr>
          <w:rFonts w:ascii="Times New Roman" w:eastAsia="Times New Roman" w:hAnsi="Times New Roman" w:cs="Times New Roman"/>
          <w:sz w:val="26"/>
          <w:szCs w:val="26"/>
          <w:lang w:val="en-US" w:eastAsia="ru-RU"/>
        </w:rPr>
        <w:t>db</w:t>
      </w:r>
      <w:proofErr w:type="spellEnd"/>
      <w:r w:rsidRPr="00725C89">
        <w:rPr>
          <w:rFonts w:ascii="Times New Roman" w:eastAsia="Times New Roman" w:hAnsi="Times New Roman" w:cs="Times New Roman"/>
          <w:sz w:val="26"/>
          <w:szCs w:val="26"/>
          <w:lang w:eastAsia="ru-RU"/>
        </w:rPr>
        <w:t>) и образование закрытых пор во время нагрева.</w:t>
      </w:r>
    </w:p>
    <w:p w:rsidR="00401D99" w:rsidRPr="00401D99" w:rsidRDefault="00401D99" w:rsidP="00401D99">
      <w:pPr>
        <w:spacing w:after="0" w:line="360" w:lineRule="auto"/>
        <w:jc w:val="center"/>
        <w:rPr>
          <w:rFonts w:ascii="Times New Roman" w:eastAsia="Times New Roman" w:hAnsi="Times New Roman" w:cs="Times New Roman"/>
          <w:sz w:val="28"/>
          <w:szCs w:val="20"/>
          <w:lang w:eastAsia="ru-RU"/>
        </w:rPr>
      </w:pPr>
    </w:p>
    <w:p w:rsidR="00725C89" w:rsidRPr="00725C89" w:rsidRDefault="00725C89" w:rsidP="00725C89">
      <w:pPr>
        <w:spacing w:after="0" w:line="360" w:lineRule="auto"/>
        <w:ind w:firstLine="709"/>
        <w:jc w:val="both"/>
        <w:rPr>
          <w:rFonts w:ascii="Times New Roman" w:eastAsia="Times New Roman" w:hAnsi="Times New Roman" w:cs="Times New Roman"/>
          <w:sz w:val="28"/>
          <w:szCs w:val="28"/>
          <w:lang w:eastAsia="ru-RU"/>
        </w:rPr>
      </w:pPr>
      <w:r w:rsidRPr="00725C89">
        <w:rPr>
          <w:rFonts w:ascii="Times New Roman" w:eastAsia="Times New Roman" w:hAnsi="Times New Roman" w:cs="Times New Roman"/>
          <w:sz w:val="28"/>
          <w:szCs w:val="28"/>
          <w:lang w:eastAsia="ru-RU"/>
        </w:rPr>
        <w:lastRenderedPageBreak/>
        <w:t xml:space="preserve">Данный метод контроля позволяет использовать средний температурный режим системы не превышающий оптимальной температуры гидратации при СВЧ-формовании ячеистых структур. </w:t>
      </w:r>
    </w:p>
    <w:p w:rsidR="00725C89" w:rsidRPr="00401D99" w:rsidRDefault="00725C89" w:rsidP="00725C89">
      <w:pPr>
        <w:spacing w:after="0" w:line="360" w:lineRule="auto"/>
        <w:ind w:firstLine="709"/>
        <w:jc w:val="both"/>
        <w:rPr>
          <w:rFonts w:ascii="Times New Roman" w:eastAsia="Times New Roman" w:hAnsi="Times New Roman" w:cs="Times New Roman"/>
          <w:sz w:val="26"/>
          <w:szCs w:val="26"/>
          <w:lang w:eastAsia="ru-RU"/>
        </w:rPr>
      </w:pPr>
      <w:r w:rsidRPr="00725C89">
        <w:rPr>
          <w:rFonts w:ascii="Times New Roman" w:eastAsia="Times New Roman" w:hAnsi="Times New Roman" w:cs="Times New Roman"/>
          <w:sz w:val="28"/>
          <w:szCs w:val="28"/>
          <w:lang w:eastAsia="ru-RU"/>
        </w:rPr>
        <w:t>В результате проведенных исследований р</w:t>
      </w:r>
      <w:r w:rsidRPr="00725C89">
        <w:rPr>
          <w:rFonts w:ascii="Times New Roman" w:eastAsia="Times New Roman" w:hAnsi="Times New Roman" w:cs="Times New Roman"/>
          <w:snapToGrid w:val="0"/>
          <w:sz w:val="28"/>
          <w:szCs w:val="24"/>
          <w:lang w:eastAsia="ru-RU"/>
        </w:rPr>
        <w:t xml:space="preserve">азработана технология получения ячеистых структур теплоизоляционных материалов источниками внутреннего нагрева. Данный метод формования позволяет получать экологически чистые материалы, т.к. не требует введения </w:t>
      </w:r>
      <w:proofErr w:type="spellStart"/>
      <w:r w:rsidRPr="00725C89">
        <w:rPr>
          <w:rFonts w:ascii="Times New Roman" w:eastAsia="Times New Roman" w:hAnsi="Times New Roman" w:cs="Times New Roman"/>
          <w:snapToGrid w:val="0"/>
          <w:sz w:val="28"/>
          <w:szCs w:val="24"/>
          <w:lang w:eastAsia="ru-RU"/>
        </w:rPr>
        <w:t>пен</w:t>
      </w:r>
      <w:proofErr w:type="gramStart"/>
      <w:r w:rsidRPr="00725C89">
        <w:rPr>
          <w:rFonts w:ascii="Times New Roman" w:eastAsia="Times New Roman" w:hAnsi="Times New Roman" w:cs="Times New Roman"/>
          <w:snapToGrid w:val="0"/>
          <w:sz w:val="28"/>
          <w:szCs w:val="24"/>
          <w:lang w:eastAsia="ru-RU"/>
        </w:rPr>
        <w:t>о</w:t>
      </w:r>
      <w:proofErr w:type="spellEnd"/>
      <w:r w:rsidRPr="00725C89">
        <w:rPr>
          <w:rFonts w:ascii="Times New Roman" w:eastAsia="Times New Roman" w:hAnsi="Times New Roman" w:cs="Times New Roman"/>
          <w:snapToGrid w:val="0"/>
          <w:sz w:val="28"/>
          <w:szCs w:val="24"/>
          <w:lang w:eastAsia="ru-RU"/>
        </w:rPr>
        <w:t>-</w:t>
      </w:r>
      <w:proofErr w:type="gramEnd"/>
      <w:r w:rsidRPr="00725C89">
        <w:rPr>
          <w:rFonts w:ascii="Times New Roman" w:eastAsia="Times New Roman" w:hAnsi="Times New Roman" w:cs="Times New Roman"/>
          <w:snapToGrid w:val="0"/>
          <w:sz w:val="28"/>
          <w:szCs w:val="24"/>
          <w:lang w:eastAsia="ru-RU"/>
        </w:rPr>
        <w:t xml:space="preserve"> и </w:t>
      </w:r>
      <w:proofErr w:type="spellStart"/>
      <w:r w:rsidRPr="00725C89">
        <w:rPr>
          <w:rFonts w:ascii="Times New Roman" w:eastAsia="Times New Roman" w:hAnsi="Times New Roman" w:cs="Times New Roman"/>
          <w:snapToGrid w:val="0"/>
          <w:sz w:val="28"/>
          <w:szCs w:val="24"/>
          <w:lang w:eastAsia="ru-RU"/>
        </w:rPr>
        <w:t>газообразователей</w:t>
      </w:r>
      <w:proofErr w:type="spellEnd"/>
      <w:r w:rsidRPr="00725C89">
        <w:rPr>
          <w:rFonts w:ascii="Times New Roman" w:eastAsia="Times New Roman" w:hAnsi="Times New Roman" w:cs="Times New Roman"/>
          <w:snapToGrid w:val="0"/>
          <w:sz w:val="28"/>
          <w:szCs w:val="28"/>
          <w:lang w:eastAsia="ru-RU"/>
        </w:rPr>
        <w:t>.</w:t>
      </w:r>
      <w:r w:rsidRPr="00725C89">
        <w:rPr>
          <w:rFonts w:ascii="Times New Roman" w:eastAsia="Times New Roman" w:hAnsi="Times New Roman" w:cs="Times New Roman"/>
          <w:sz w:val="28"/>
          <w:szCs w:val="28"/>
          <w:lang w:eastAsia="ru-RU"/>
        </w:rPr>
        <w:t xml:space="preserve"> Используя метод акустической эмиссии можно осуществлять </w:t>
      </w:r>
      <w:proofErr w:type="gramStart"/>
      <w:r w:rsidRPr="00725C89">
        <w:rPr>
          <w:rFonts w:ascii="Times New Roman" w:eastAsia="Times New Roman" w:hAnsi="Times New Roman" w:cs="Times New Roman"/>
          <w:sz w:val="28"/>
          <w:szCs w:val="28"/>
          <w:lang w:eastAsia="ru-RU"/>
        </w:rPr>
        <w:t>контроль за</w:t>
      </w:r>
      <w:proofErr w:type="gramEnd"/>
      <w:r w:rsidRPr="00725C89">
        <w:rPr>
          <w:rFonts w:ascii="Times New Roman" w:eastAsia="Times New Roman" w:hAnsi="Times New Roman" w:cs="Times New Roman"/>
          <w:sz w:val="28"/>
          <w:szCs w:val="28"/>
          <w:lang w:eastAsia="ru-RU"/>
        </w:rPr>
        <w:t xml:space="preserve"> структурообразованием пористых материалов, получаемых по технологии внутреннего нагрева положительными источниками тепла. Данный метод основан на применении простых и доступных компьютерных технологий, что позволяет существенно снизить затраты на контрольно-измерительные приборы.</w:t>
      </w:r>
      <w:r w:rsidRPr="00401D99">
        <w:rPr>
          <w:rFonts w:ascii="Times New Roman" w:eastAsia="Times New Roman" w:hAnsi="Times New Roman" w:cs="Times New Roman"/>
          <w:sz w:val="28"/>
          <w:szCs w:val="28"/>
          <w:lang w:eastAsia="ru-RU"/>
        </w:rPr>
        <w:t xml:space="preserve"> </w:t>
      </w:r>
    </w:p>
    <w:p w:rsidR="002046C2" w:rsidRDefault="002046C2" w:rsidP="00401D99"/>
    <w:sectPr w:rsidR="00204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16A3A"/>
    <w:multiLevelType w:val="hybridMultilevel"/>
    <w:tmpl w:val="10444E96"/>
    <w:lvl w:ilvl="0" w:tplc="FFFFFFFF">
      <w:numFmt w:val="bullet"/>
      <w:lvlText w:val="-"/>
      <w:lvlJc w:val="left"/>
      <w:pPr>
        <w:tabs>
          <w:tab w:val="num" w:pos="1400"/>
        </w:tabs>
        <w:ind w:left="1400" w:hanging="68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88"/>
    <w:rsid w:val="002046C2"/>
    <w:rsid w:val="00211D99"/>
    <w:rsid w:val="002F6039"/>
    <w:rsid w:val="00331410"/>
    <w:rsid w:val="00401D99"/>
    <w:rsid w:val="00562C0B"/>
    <w:rsid w:val="00641518"/>
    <w:rsid w:val="00646CD5"/>
    <w:rsid w:val="00725C89"/>
    <w:rsid w:val="008B7A3A"/>
    <w:rsid w:val="009062CB"/>
    <w:rsid w:val="009210ED"/>
    <w:rsid w:val="009C0D68"/>
    <w:rsid w:val="009D5888"/>
    <w:rsid w:val="00A62D99"/>
    <w:rsid w:val="00B10462"/>
    <w:rsid w:val="00B218F2"/>
    <w:rsid w:val="00B5031D"/>
    <w:rsid w:val="00BD441A"/>
    <w:rsid w:val="00E3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chart" Target="charts/chart3.xml"/><Relationship Id="rId10" Type="http://schemas.openxmlformats.org/officeDocument/2006/relationships/oleObject" Target="embeddings/oleObject2.bin"/><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ru-RU"/>
              <a:t>Звуковое давление и температура образца во время нагрева в СВЧ- поле</a:t>
            </a:r>
          </a:p>
        </c:rich>
      </c:tx>
      <c:layout>
        <c:manualLayout>
          <c:xMode val="edge"/>
          <c:yMode val="edge"/>
          <c:x val="0.10584518167456557"/>
          <c:y val="1.9370460048426151E-2"/>
        </c:manualLayout>
      </c:layout>
      <c:overlay val="0"/>
      <c:spPr>
        <a:noFill/>
        <a:ln w="25400">
          <a:noFill/>
        </a:ln>
      </c:spPr>
    </c:title>
    <c:autoTitleDeleted val="0"/>
    <c:plotArea>
      <c:layout>
        <c:manualLayout>
          <c:layoutTarget val="inner"/>
          <c:xMode val="edge"/>
          <c:yMode val="edge"/>
          <c:x val="9.6366508688783575E-2"/>
          <c:y val="0.21549636803874092"/>
          <c:w val="0.79936808846761453"/>
          <c:h val="0.49394673123486682"/>
        </c:manualLayout>
      </c:layout>
      <c:lineChart>
        <c:grouping val="standard"/>
        <c:varyColors val="0"/>
        <c:ser>
          <c:idx val="1"/>
          <c:order val="0"/>
          <c:tx>
            <c:strRef>
              <c:f>выводы!$F$1</c:f>
              <c:strCache>
                <c:ptCount val="1"/>
                <c:pt idx="0">
                  <c:v>min db</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выводы!$E$2:$E$27</c:f>
              <c:strCache>
                <c:ptCount val="26"/>
                <c:pt idx="0">
                  <c:v>0-5</c:v>
                </c:pt>
                <c:pt idx="1">
                  <c:v>5--10</c:v>
                </c:pt>
                <c:pt idx="2">
                  <c:v>10--15</c:v>
                </c:pt>
                <c:pt idx="3">
                  <c:v>15-20</c:v>
                </c:pt>
                <c:pt idx="4">
                  <c:v>20-25</c:v>
                </c:pt>
                <c:pt idx="5">
                  <c:v>25-30</c:v>
                </c:pt>
                <c:pt idx="6">
                  <c:v>30-35</c:v>
                </c:pt>
                <c:pt idx="7">
                  <c:v>35-40</c:v>
                </c:pt>
                <c:pt idx="8">
                  <c:v>40-45</c:v>
                </c:pt>
                <c:pt idx="9">
                  <c:v>45-50</c:v>
                </c:pt>
                <c:pt idx="10">
                  <c:v>50-55</c:v>
                </c:pt>
                <c:pt idx="11">
                  <c:v>55-60</c:v>
                </c:pt>
                <c:pt idx="12">
                  <c:v>60-65</c:v>
                </c:pt>
                <c:pt idx="13">
                  <c:v>65-70</c:v>
                </c:pt>
                <c:pt idx="14">
                  <c:v>70-75</c:v>
                </c:pt>
                <c:pt idx="15">
                  <c:v>75-80</c:v>
                </c:pt>
                <c:pt idx="16">
                  <c:v>80-85</c:v>
                </c:pt>
                <c:pt idx="17">
                  <c:v>85-90</c:v>
                </c:pt>
                <c:pt idx="18">
                  <c:v>90-95</c:v>
                </c:pt>
                <c:pt idx="19">
                  <c:v>95-100</c:v>
                </c:pt>
                <c:pt idx="20">
                  <c:v>100-105</c:v>
                </c:pt>
                <c:pt idx="21">
                  <c:v>105-110</c:v>
                </c:pt>
                <c:pt idx="22">
                  <c:v>110-115</c:v>
                </c:pt>
                <c:pt idx="23">
                  <c:v>115-120</c:v>
                </c:pt>
                <c:pt idx="24">
                  <c:v>120-125</c:v>
                </c:pt>
                <c:pt idx="25">
                  <c:v>125-130</c:v>
                </c:pt>
              </c:strCache>
            </c:strRef>
          </c:cat>
          <c:val>
            <c:numRef>
              <c:f>выводы!$F$2:$F$27</c:f>
              <c:numCache>
                <c:formatCode>General</c:formatCode>
                <c:ptCount val="26"/>
                <c:pt idx="0">
                  <c:v>5.83</c:v>
                </c:pt>
                <c:pt idx="1">
                  <c:v>5.83</c:v>
                </c:pt>
                <c:pt idx="2">
                  <c:v>5.83</c:v>
                </c:pt>
                <c:pt idx="3">
                  <c:v>5.83</c:v>
                </c:pt>
                <c:pt idx="4">
                  <c:v>8.3699999999999992</c:v>
                </c:pt>
                <c:pt idx="5">
                  <c:v>8.1300000000000008</c:v>
                </c:pt>
                <c:pt idx="6">
                  <c:v>9.3000000000000007</c:v>
                </c:pt>
                <c:pt idx="7">
                  <c:v>9.31</c:v>
                </c:pt>
                <c:pt idx="8">
                  <c:v>8.2899999999999991</c:v>
                </c:pt>
                <c:pt idx="9">
                  <c:v>8.2249999999999996</c:v>
                </c:pt>
                <c:pt idx="10">
                  <c:v>8.34</c:v>
                </c:pt>
                <c:pt idx="11">
                  <c:v>7.7149999999999999</c:v>
                </c:pt>
                <c:pt idx="12">
                  <c:v>7.6899999999999995</c:v>
                </c:pt>
                <c:pt idx="13">
                  <c:v>6.6750000000000007</c:v>
                </c:pt>
                <c:pt idx="14">
                  <c:v>8.8550000000000004</c:v>
                </c:pt>
                <c:pt idx="15">
                  <c:v>7.1449999999999996</c:v>
                </c:pt>
                <c:pt idx="16">
                  <c:v>7.6199999999999992</c:v>
                </c:pt>
                <c:pt idx="17">
                  <c:v>6.7949999999999999</c:v>
                </c:pt>
                <c:pt idx="18">
                  <c:v>6.5299999999999994</c:v>
                </c:pt>
                <c:pt idx="19">
                  <c:v>7.35</c:v>
                </c:pt>
                <c:pt idx="20">
                  <c:v>6.92</c:v>
                </c:pt>
                <c:pt idx="21">
                  <c:v>6.91</c:v>
                </c:pt>
                <c:pt idx="22">
                  <c:v>6.73</c:v>
                </c:pt>
                <c:pt idx="23">
                  <c:v>6.29</c:v>
                </c:pt>
                <c:pt idx="24">
                  <c:v>6.93</c:v>
                </c:pt>
                <c:pt idx="25">
                  <c:v>5.81</c:v>
                </c:pt>
              </c:numCache>
            </c:numRef>
          </c:val>
          <c:smooth val="0"/>
          <c:extLst xmlns:c16r2="http://schemas.microsoft.com/office/drawing/2015/06/chart">
            <c:ext xmlns:c16="http://schemas.microsoft.com/office/drawing/2014/chart" uri="{C3380CC4-5D6E-409C-BE32-E72D297353CC}">
              <c16:uniqueId val="{00000000-4CFD-4A66-BFA1-0333C022F165}"/>
            </c:ext>
          </c:extLst>
        </c:ser>
        <c:dLbls>
          <c:showLegendKey val="0"/>
          <c:showVal val="0"/>
          <c:showCatName val="0"/>
          <c:showSerName val="0"/>
          <c:showPercent val="0"/>
          <c:showBubbleSize val="0"/>
        </c:dLbls>
        <c:marker val="1"/>
        <c:smooth val="0"/>
        <c:axId val="65934464"/>
        <c:axId val="65936768"/>
      </c:lineChart>
      <c:lineChart>
        <c:grouping val="standard"/>
        <c:varyColors val="0"/>
        <c:ser>
          <c:idx val="0"/>
          <c:order val="1"/>
          <c:tx>
            <c:strRef>
              <c:f>выводы!$P$1</c:f>
              <c:strCache>
                <c:ptCount val="1"/>
                <c:pt idx="0">
                  <c:v>температура</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val>
            <c:numRef>
              <c:f>выводы!$P$2:$P$27</c:f>
              <c:numCache>
                <c:formatCode>General</c:formatCode>
                <c:ptCount val="26"/>
                <c:pt idx="0">
                  <c:v>15</c:v>
                </c:pt>
                <c:pt idx="1">
                  <c:v>22</c:v>
                </c:pt>
                <c:pt idx="2">
                  <c:v>27</c:v>
                </c:pt>
                <c:pt idx="3">
                  <c:v>30</c:v>
                </c:pt>
                <c:pt idx="4">
                  <c:v>40</c:v>
                </c:pt>
                <c:pt idx="5">
                  <c:v>49</c:v>
                </c:pt>
                <c:pt idx="6">
                  <c:v>52.5</c:v>
                </c:pt>
                <c:pt idx="7">
                  <c:v>55</c:v>
                </c:pt>
                <c:pt idx="8">
                  <c:v>60</c:v>
                </c:pt>
                <c:pt idx="9">
                  <c:v>66</c:v>
                </c:pt>
                <c:pt idx="10">
                  <c:v>80</c:v>
                </c:pt>
                <c:pt idx="11">
                  <c:v>82</c:v>
                </c:pt>
                <c:pt idx="12">
                  <c:v>87.5</c:v>
                </c:pt>
                <c:pt idx="13">
                  <c:v>94</c:v>
                </c:pt>
                <c:pt idx="14">
                  <c:v>97.5</c:v>
                </c:pt>
                <c:pt idx="15">
                  <c:v>97.6</c:v>
                </c:pt>
                <c:pt idx="16">
                  <c:v>97.9</c:v>
                </c:pt>
                <c:pt idx="17">
                  <c:v>100</c:v>
                </c:pt>
                <c:pt idx="18">
                  <c:v>100</c:v>
                </c:pt>
                <c:pt idx="19">
                  <c:v>100</c:v>
                </c:pt>
                <c:pt idx="20">
                  <c:v>100</c:v>
                </c:pt>
                <c:pt idx="21">
                  <c:v>100</c:v>
                </c:pt>
                <c:pt idx="22">
                  <c:v>100</c:v>
                </c:pt>
                <c:pt idx="23">
                  <c:v>100</c:v>
                </c:pt>
                <c:pt idx="24">
                  <c:v>100</c:v>
                </c:pt>
                <c:pt idx="25">
                  <c:v>100</c:v>
                </c:pt>
              </c:numCache>
            </c:numRef>
          </c:val>
          <c:smooth val="0"/>
          <c:extLst xmlns:c16r2="http://schemas.microsoft.com/office/drawing/2015/06/chart">
            <c:ext xmlns:c16="http://schemas.microsoft.com/office/drawing/2014/chart" uri="{C3380CC4-5D6E-409C-BE32-E72D297353CC}">
              <c16:uniqueId val="{00000001-4CFD-4A66-BFA1-0333C022F165}"/>
            </c:ext>
          </c:extLst>
        </c:ser>
        <c:dLbls>
          <c:showLegendKey val="0"/>
          <c:showVal val="0"/>
          <c:showCatName val="0"/>
          <c:showSerName val="0"/>
          <c:showPercent val="0"/>
          <c:showBubbleSize val="0"/>
        </c:dLbls>
        <c:marker val="1"/>
        <c:smooth val="0"/>
        <c:axId val="65943040"/>
        <c:axId val="65944576"/>
      </c:lineChart>
      <c:catAx>
        <c:axId val="6593446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ru-RU"/>
                  <a:t>время, сек.</a:t>
                </a:r>
              </a:p>
            </c:rich>
          </c:tx>
          <c:layout>
            <c:manualLayout>
              <c:xMode val="edge"/>
              <c:yMode val="edge"/>
              <c:x val="0.43285939968404424"/>
              <c:y val="0.8498789346246973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ru-RU"/>
          </a:p>
        </c:txPr>
        <c:crossAx val="65936768"/>
        <c:crosses val="autoZero"/>
        <c:auto val="0"/>
        <c:lblAlgn val="ctr"/>
        <c:lblOffset val="100"/>
        <c:tickLblSkip val="2"/>
        <c:tickMarkSkip val="1"/>
        <c:noMultiLvlLbl val="0"/>
      </c:catAx>
      <c:valAx>
        <c:axId val="65936768"/>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US"/>
                  <a:t>-db</a:t>
                </a:r>
              </a:p>
            </c:rich>
          </c:tx>
          <c:layout>
            <c:manualLayout>
              <c:xMode val="edge"/>
              <c:yMode val="edge"/>
              <c:x val="1.7377567140600316E-2"/>
              <c:y val="0.43099273607748184"/>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65934464"/>
        <c:crosses val="autoZero"/>
        <c:crossBetween val="between"/>
      </c:valAx>
      <c:catAx>
        <c:axId val="65943040"/>
        <c:scaling>
          <c:orientation val="minMax"/>
        </c:scaling>
        <c:delete val="1"/>
        <c:axPos val="b"/>
        <c:majorTickMark val="out"/>
        <c:minorTickMark val="none"/>
        <c:tickLblPos val="nextTo"/>
        <c:crossAx val="65944576"/>
        <c:crosses val="autoZero"/>
        <c:auto val="0"/>
        <c:lblAlgn val="ctr"/>
        <c:lblOffset val="100"/>
        <c:noMultiLvlLbl val="0"/>
      </c:catAx>
      <c:valAx>
        <c:axId val="65944576"/>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ru-RU"/>
                  <a:t>температура, С</a:t>
                </a:r>
              </a:p>
            </c:rich>
          </c:tx>
          <c:layout>
            <c:manualLayout>
              <c:xMode val="edge"/>
              <c:yMode val="edge"/>
              <c:x val="0.94628751974723535"/>
              <c:y val="0.33414043583535108"/>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65943040"/>
        <c:crosses val="max"/>
        <c:crossBetween val="between"/>
      </c:valAx>
      <c:spPr>
        <a:solidFill>
          <a:srgbClr val="FFFFFF"/>
        </a:solidFill>
        <a:ln w="12700">
          <a:solidFill>
            <a:srgbClr val="808080"/>
          </a:solidFill>
          <a:prstDash val="solid"/>
        </a:ln>
      </c:spPr>
    </c:plotArea>
    <c:legend>
      <c:legendPos val="b"/>
      <c:layout>
        <c:manualLayout>
          <c:xMode val="edge"/>
          <c:yMode val="edge"/>
          <c:x val="0.34281200631911535"/>
          <c:y val="0.93462469733656173"/>
          <c:w val="0.30173775671406006"/>
          <c:h val="5.8111380145278453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ru-RU"/>
              <a:t>Потеря массы(%) и средняя температура образца в СВЧ-поле </a:t>
            </a:r>
          </a:p>
        </c:rich>
      </c:tx>
      <c:layout>
        <c:manualLayout>
          <c:xMode val="edge"/>
          <c:yMode val="edge"/>
          <c:x val="0.10268562401263823"/>
          <c:y val="1.9370460048426151E-2"/>
        </c:manualLayout>
      </c:layout>
      <c:overlay val="0"/>
      <c:spPr>
        <a:noFill/>
        <a:ln w="25400">
          <a:noFill/>
        </a:ln>
      </c:spPr>
    </c:title>
    <c:autoTitleDeleted val="0"/>
    <c:plotArea>
      <c:layout>
        <c:manualLayout>
          <c:layoutTarget val="inner"/>
          <c:xMode val="edge"/>
          <c:yMode val="edge"/>
          <c:x val="9.6366508688783575E-2"/>
          <c:y val="0.16464891041162227"/>
          <c:w val="0.79936808846761453"/>
          <c:h val="0.5447941888619855"/>
        </c:manualLayout>
      </c:layout>
      <c:lineChart>
        <c:grouping val="standard"/>
        <c:varyColors val="0"/>
        <c:ser>
          <c:idx val="1"/>
          <c:order val="0"/>
          <c:tx>
            <c:strRef>
              <c:f>выводы!$O$1</c:f>
              <c:strCache>
                <c:ptCount val="1"/>
                <c:pt idx="0">
                  <c:v>потеря помассе%</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выводы!$E$2:$E$27</c:f>
              <c:strCache>
                <c:ptCount val="26"/>
                <c:pt idx="0">
                  <c:v>0-5</c:v>
                </c:pt>
                <c:pt idx="1">
                  <c:v>5--10</c:v>
                </c:pt>
                <c:pt idx="2">
                  <c:v>10--15</c:v>
                </c:pt>
                <c:pt idx="3">
                  <c:v>15-20</c:v>
                </c:pt>
                <c:pt idx="4">
                  <c:v>20-25</c:v>
                </c:pt>
                <c:pt idx="5">
                  <c:v>25-30</c:v>
                </c:pt>
                <c:pt idx="6">
                  <c:v>30-35</c:v>
                </c:pt>
                <c:pt idx="7">
                  <c:v>35-40</c:v>
                </c:pt>
                <c:pt idx="8">
                  <c:v>40-45</c:v>
                </c:pt>
                <c:pt idx="9">
                  <c:v>45-50</c:v>
                </c:pt>
                <c:pt idx="10">
                  <c:v>50-55</c:v>
                </c:pt>
                <c:pt idx="11">
                  <c:v>55-60</c:v>
                </c:pt>
                <c:pt idx="12">
                  <c:v>60-65</c:v>
                </c:pt>
                <c:pt idx="13">
                  <c:v>65-70</c:v>
                </c:pt>
                <c:pt idx="14">
                  <c:v>70-75</c:v>
                </c:pt>
                <c:pt idx="15">
                  <c:v>75-80</c:v>
                </c:pt>
                <c:pt idx="16">
                  <c:v>80-85</c:v>
                </c:pt>
                <c:pt idx="17">
                  <c:v>85-90</c:v>
                </c:pt>
                <c:pt idx="18">
                  <c:v>90-95</c:v>
                </c:pt>
                <c:pt idx="19">
                  <c:v>95-100</c:v>
                </c:pt>
                <c:pt idx="20">
                  <c:v>100-105</c:v>
                </c:pt>
                <c:pt idx="21">
                  <c:v>105-110</c:v>
                </c:pt>
                <c:pt idx="22">
                  <c:v>110-115</c:v>
                </c:pt>
                <c:pt idx="23">
                  <c:v>115-120</c:v>
                </c:pt>
                <c:pt idx="24">
                  <c:v>120-125</c:v>
                </c:pt>
                <c:pt idx="25">
                  <c:v>125-130</c:v>
                </c:pt>
              </c:strCache>
            </c:strRef>
          </c:cat>
          <c:val>
            <c:numRef>
              <c:f>выводы!$O$2:$O$27</c:f>
              <c:numCache>
                <c:formatCode>General</c:formatCode>
                <c:ptCount val="26"/>
                <c:pt idx="0">
                  <c:v>0</c:v>
                </c:pt>
                <c:pt idx="1">
                  <c:v>0</c:v>
                </c:pt>
                <c:pt idx="2">
                  <c:v>0</c:v>
                </c:pt>
                <c:pt idx="3">
                  <c:v>0</c:v>
                </c:pt>
                <c:pt idx="4">
                  <c:v>0</c:v>
                </c:pt>
                <c:pt idx="5">
                  <c:v>0.47</c:v>
                </c:pt>
                <c:pt idx="6">
                  <c:v>0.93</c:v>
                </c:pt>
                <c:pt idx="7">
                  <c:v>1.39</c:v>
                </c:pt>
                <c:pt idx="8">
                  <c:v>2.73</c:v>
                </c:pt>
                <c:pt idx="9">
                  <c:v>3.4000000000000004</c:v>
                </c:pt>
                <c:pt idx="10">
                  <c:v>4.68</c:v>
                </c:pt>
                <c:pt idx="11">
                  <c:v>6.1</c:v>
                </c:pt>
                <c:pt idx="12">
                  <c:v>7.2750000000000004</c:v>
                </c:pt>
                <c:pt idx="13">
                  <c:v>8.2349999999999994</c:v>
                </c:pt>
                <c:pt idx="14">
                  <c:v>8.75</c:v>
                </c:pt>
                <c:pt idx="15">
                  <c:v>9.3000000000000007</c:v>
                </c:pt>
                <c:pt idx="16">
                  <c:v>9.5</c:v>
                </c:pt>
                <c:pt idx="17">
                  <c:v>9.5</c:v>
                </c:pt>
                <c:pt idx="18">
                  <c:v>9.8000000000000007</c:v>
                </c:pt>
                <c:pt idx="19">
                  <c:v>10.199999999999999</c:v>
                </c:pt>
                <c:pt idx="20">
                  <c:v>10.199999999999999</c:v>
                </c:pt>
                <c:pt idx="21">
                  <c:v>10.5</c:v>
                </c:pt>
                <c:pt idx="22">
                  <c:v>10.5</c:v>
                </c:pt>
                <c:pt idx="23">
                  <c:v>10.7</c:v>
                </c:pt>
                <c:pt idx="24">
                  <c:v>10.8</c:v>
                </c:pt>
                <c:pt idx="25">
                  <c:v>10.8</c:v>
                </c:pt>
              </c:numCache>
            </c:numRef>
          </c:val>
          <c:smooth val="0"/>
          <c:extLst xmlns:c16r2="http://schemas.microsoft.com/office/drawing/2015/06/chart">
            <c:ext xmlns:c16="http://schemas.microsoft.com/office/drawing/2014/chart" uri="{C3380CC4-5D6E-409C-BE32-E72D297353CC}">
              <c16:uniqueId val="{00000000-4E29-4BC5-96E4-6A4C2D0B3FDF}"/>
            </c:ext>
          </c:extLst>
        </c:ser>
        <c:dLbls>
          <c:showLegendKey val="0"/>
          <c:showVal val="0"/>
          <c:showCatName val="0"/>
          <c:showSerName val="0"/>
          <c:showPercent val="0"/>
          <c:showBubbleSize val="0"/>
        </c:dLbls>
        <c:marker val="1"/>
        <c:smooth val="0"/>
        <c:axId val="81401728"/>
        <c:axId val="81404288"/>
      </c:lineChart>
      <c:lineChart>
        <c:grouping val="standard"/>
        <c:varyColors val="0"/>
        <c:ser>
          <c:idx val="0"/>
          <c:order val="1"/>
          <c:tx>
            <c:strRef>
              <c:f>выводы!$P$1</c:f>
              <c:strCache>
                <c:ptCount val="1"/>
                <c:pt idx="0">
                  <c:v>температура</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val>
            <c:numRef>
              <c:f>выводы!$P$2:$P$27</c:f>
              <c:numCache>
                <c:formatCode>General</c:formatCode>
                <c:ptCount val="26"/>
                <c:pt idx="0">
                  <c:v>15</c:v>
                </c:pt>
                <c:pt idx="1">
                  <c:v>22</c:v>
                </c:pt>
                <c:pt idx="2">
                  <c:v>27</c:v>
                </c:pt>
                <c:pt idx="3">
                  <c:v>30</c:v>
                </c:pt>
                <c:pt idx="4">
                  <c:v>40</c:v>
                </c:pt>
                <c:pt idx="5">
                  <c:v>49</c:v>
                </c:pt>
                <c:pt idx="6">
                  <c:v>52.5</c:v>
                </c:pt>
                <c:pt idx="7">
                  <c:v>55</c:v>
                </c:pt>
                <c:pt idx="8">
                  <c:v>60</c:v>
                </c:pt>
                <c:pt idx="9">
                  <c:v>66</c:v>
                </c:pt>
                <c:pt idx="10">
                  <c:v>80</c:v>
                </c:pt>
                <c:pt idx="11">
                  <c:v>82</c:v>
                </c:pt>
                <c:pt idx="12">
                  <c:v>87.5</c:v>
                </c:pt>
                <c:pt idx="13">
                  <c:v>94</c:v>
                </c:pt>
                <c:pt idx="14">
                  <c:v>97.5</c:v>
                </c:pt>
                <c:pt idx="15">
                  <c:v>97.6</c:v>
                </c:pt>
                <c:pt idx="16">
                  <c:v>97.9</c:v>
                </c:pt>
                <c:pt idx="17">
                  <c:v>100</c:v>
                </c:pt>
                <c:pt idx="18">
                  <c:v>100</c:v>
                </c:pt>
                <c:pt idx="19">
                  <c:v>100</c:v>
                </c:pt>
                <c:pt idx="20">
                  <c:v>100</c:v>
                </c:pt>
                <c:pt idx="21">
                  <c:v>100</c:v>
                </c:pt>
                <c:pt idx="22">
                  <c:v>100</c:v>
                </c:pt>
                <c:pt idx="23">
                  <c:v>100</c:v>
                </c:pt>
                <c:pt idx="24">
                  <c:v>100</c:v>
                </c:pt>
                <c:pt idx="25">
                  <c:v>100</c:v>
                </c:pt>
              </c:numCache>
            </c:numRef>
          </c:val>
          <c:smooth val="0"/>
          <c:extLst xmlns:c16r2="http://schemas.microsoft.com/office/drawing/2015/06/chart">
            <c:ext xmlns:c16="http://schemas.microsoft.com/office/drawing/2014/chart" uri="{C3380CC4-5D6E-409C-BE32-E72D297353CC}">
              <c16:uniqueId val="{00000001-4E29-4BC5-96E4-6A4C2D0B3FDF}"/>
            </c:ext>
          </c:extLst>
        </c:ser>
        <c:dLbls>
          <c:showLegendKey val="0"/>
          <c:showVal val="0"/>
          <c:showCatName val="0"/>
          <c:showSerName val="0"/>
          <c:showPercent val="0"/>
          <c:showBubbleSize val="0"/>
        </c:dLbls>
        <c:marker val="1"/>
        <c:smooth val="0"/>
        <c:axId val="81406208"/>
        <c:axId val="81412096"/>
      </c:lineChart>
      <c:catAx>
        <c:axId val="8140172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ru-RU"/>
                  <a:t>время, сек</a:t>
                </a:r>
              </a:p>
            </c:rich>
          </c:tx>
          <c:layout>
            <c:manualLayout>
              <c:xMode val="edge"/>
              <c:yMode val="edge"/>
              <c:x val="0.43601895734597157"/>
              <c:y val="0.8498789346246973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ru-RU"/>
          </a:p>
        </c:txPr>
        <c:crossAx val="81404288"/>
        <c:crosses val="autoZero"/>
        <c:auto val="0"/>
        <c:lblAlgn val="ctr"/>
        <c:lblOffset val="100"/>
        <c:tickLblSkip val="2"/>
        <c:tickMarkSkip val="1"/>
        <c:noMultiLvlLbl val="0"/>
      </c:catAx>
      <c:valAx>
        <c:axId val="81404288"/>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ru-RU"/>
                  <a:t>%</a:t>
                </a:r>
              </a:p>
            </c:rich>
          </c:tx>
          <c:layout>
            <c:manualLayout>
              <c:xMode val="edge"/>
              <c:yMode val="edge"/>
              <c:x val="1.7377567140600316E-2"/>
              <c:y val="0.41646489104116224"/>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81401728"/>
        <c:crosses val="autoZero"/>
        <c:crossBetween val="between"/>
      </c:valAx>
      <c:catAx>
        <c:axId val="81406208"/>
        <c:scaling>
          <c:orientation val="minMax"/>
        </c:scaling>
        <c:delete val="1"/>
        <c:axPos val="b"/>
        <c:majorTickMark val="out"/>
        <c:minorTickMark val="none"/>
        <c:tickLblPos val="nextTo"/>
        <c:crossAx val="81412096"/>
        <c:crosses val="autoZero"/>
        <c:auto val="0"/>
        <c:lblAlgn val="ctr"/>
        <c:lblOffset val="100"/>
        <c:noMultiLvlLbl val="0"/>
      </c:catAx>
      <c:valAx>
        <c:axId val="81412096"/>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ru-RU"/>
                  <a:t>С</a:t>
                </a:r>
              </a:p>
            </c:rich>
          </c:tx>
          <c:layout>
            <c:manualLayout>
              <c:xMode val="edge"/>
              <c:yMode val="edge"/>
              <c:x val="0.94628751974723535"/>
              <c:y val="0.41888619854721548"/>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81406208"/>
        <c:crosses val="max"/>
        <c:crossBetween val="between"/>
      </c:valAx>
      <c:spPr>
        <a:solidFill>
          <a:srgbClr val="FFFFFF"/>
        </a:solidFill>
        <a:ln w="12700">
          <a:solidFill>
            <a:srgbClr val="808080"/>
          </a:solidFill>
          <a:prstDash val="solid"/>
        </a:ln>
      </c:spPr>
    </c:plotArea>
    <c:legend>
      <c:legendPos val="b"/>
      <c:layout>
        <c:manualLayout>
          <c:xMode val="edge"/>
          <c:yMode val="edge"/>
          <c:x val="0.2890995260663507"/>
          <c:y val="0.93462469733656173"/>
          <c:w val="0.40916271721958924"/>
          <c:h val="5.8111380145278453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7" b="1" i="0" u="none" strike="noStrike" baseline="0">
                <a:solidFill>
                  <a:srgbClr val="000000"/>
                </a:solidFill>
                <a:latin typeface="Arial"/>
                <a:ea typeface="Arial"/>
                <a:cs typeface="Arial"/>
              </a:defRPr>
            </a:pPr>
            <a:r>
              <a:rPr lang="ru-RU"/>
              <a:t>Звуковое давление (-</a:t>
            </a:r>
            <a:r>
              <a:rPr lang="en-US"/>
              <a:t>db) </a:t>
            </a:r>
            <a:r>
              <a:rPr lang="ru-RU"/>
              <a:t>и образование открытых пор во время нагрева</a:t>
            </a:r>
          </a:p>
        </c:rich>
      </c:tx>
      <c:layout>
        <c:manualLayout>
          <c:xMode val="edge"/>
          <c:yMode val="edge"/>
          <c:x val="0.12954186413902052"/>
          <c:y val="1.9522776572668113E-2"/>
        </c:manualLayout>
      </c:layout>
      <c:overlay val="0"/>
      <c:spPr>
        <a:noFill/>
        <a:ln w="22160">
          <a:noFill/>
        </a:ln>
      </c:spPr>
    </c:title>
    <c:autoTitleDeleted val="0"/>
    <c:plotArea>
      <c:layout>
        <c:manualLayout>
          <c:layoutTarget val="inner"/>
          <c:xMode val="edge"/>
          <c:yMode val="edge"/>
          <c:x val="9.6366508688783575E-2"/>
          <c:y val="0.19522776572668113"/>
          <c:w val="0.81042654028436023"/>
          <c:h val="0.54663774403470711"/>
        </c:manualLayout>
      </c:layout>
      <c:lineChart>
        <c:grouping val="standard"/>
        <c:varyColors val="0"/>
        <c:ser>
          <c:idx val="1"/>
          <c:order val="0"/>
          <c:tx>
            <c:strRef>
              <c:f>выводы!$F$1</c:f>
              <c:strCache>
                <c:ptCount val="1"/>
                <c:pt idx="0">
                  <c:v>min db</c:v>
                </c:pt>
              </c:strCache>
            </c:strRef>
          </c:tx>
          <c:spPr>
            <a:ln w="11080">
              <a:solidFill>
                <a:srgbClr val="FF00FF"/>
              </a:solidFill>
              <a:prstDash val="solid"/>
            </a:ln>
          </c:spPr>
          <c:marker>
            <c:symbol val="square"/>
            <c:size val="4"/>
            <c:spPr>
              <a:solidFill>
                <a:srgbClr val="FF00FF"/>
              </a:solidFill>
              <a:ln>
                <a:solidFill>
                  <a:srgbClr val="FF00FF"/>
                </a:solidFill>
                <a:prstDash val="solid"/>
              </a:ln>
            </c:spPr>
          </c:marker>
          <c:cat>
            <c:strRef>
              <c:f>выводы!$E$7:$E$27</c:f>
              <c:strCache>
                <c:ptCount val="21"/>
                <c:pt idx="0">
                  <c:v>25-30</c:v>
                </c:pt>
                <c:pt idx="1">
                  <c:v>30-35</c:v>
                </c:pt>
                <c:pt idx="2">
                  <c:v>35-40</c:v>
                </c:pt>
                <c:pt idx="3">
                  <c:v>40-45</c:v>
                </c:pt>
                <c:pt idx="4">
                  <c:v>45-50</c:v>
                </c:pt>
                <c:pt idx="5">
                  <c:v>50-55</c:v>
                </c:pt>
                <c:pt idx="6">
                  <c:v>55-60</c:v>
                </c:pt>
                <c:pt idx="7">
                  <c:v>60-65</c:v>
                </c:pt>
                <c:pt idx="8">
                  <c:v>65-70</c:v>
                </c:pt>
                <c:pt idx="9">
                  <c:v>70-75</c:v>
                </c:pt>
                <c:pt idx="10">
                  <c:v>75-80</c:v>
                </c:pt>
                <c:pt idx="11">
                  <c:v>80-85</c:v>
                </c:pt>
                <c:pt idx="12">
                  <c:v>85-90</c:v>
                </c:pt>
                <c:pt idx="13">
                  <c:v>90-95</c:v>
                </c:pt>
                <c:pt idx="14">
                  <c:v>95-100</c:v>
                </c:pt>
                <c:pt idx="15">
                  <c:v>100-105</c:v>
                </c:pt>
                <c:pt idx="16">
                  <c:v>105-110</c:v>
                </c:pt>
                <c:pt idx="17">
                  <c:v>110-115</c:v>
                </c:pt>
                <c:pt idx="18">
                  <c:v>115-120</c:v>
                </c:pt>
                <c:pt idx="19">
                  <c:v>120-125</c:v>
                </c:pt>
                <c:pt idx="20">
                  <c:v>125-130</c:v>
                </c:pt>
              </c:strCache>
            </c:strRef>
          </c:cat>
          <c:val>
            <c:numRef>
              <c:f>выводы!$F$7:$F$27</c:f>
              <c:numCache>
                <c:formatCode>General</c:formatCode>
                <c:ptCount val="21"/>
                <c:pt idx="0">
                  <c:v>8.1300000000000008</c:v>
                </c:pt>
                <c:pt idx="1">
                  <c:v>9.3000000000000007</c:v>
                </c:pt>
                <c:pt idx="2">
                  <c:v>9.31</c:v>
                </c:pt>
                <c:pt idx="3">
                  <c:v>8.2899999999999991</c:v>
                </c:pt>
                <c:pt idx="4">
                  <c:v>8.2249999999999996</c:v>
                </c:pt>
                <c:pt idx="5">
                  <c:v>8.34</c:v>
                </c:pt>
                <c:pt idx="6">
                  <c:v>7.7149999999999999</c:v>
                </c:pt>
                <c:pt idx="7">
                  <c:v>7.6899999999999995</c:v>
                </c:pt>
                <c:pt idx="8">
                  <c:v>6.6750000000000007</c:v>
                </c:pt>
                <c:pt idx="9">
                  <c:v>8.8550000000000004</c:v>
                </c:pt>
                <c:pt idx="10">
                  <c:v>7.1449999999999996</c:v>
                </c:pt>
                <c:pt idx="11">
                  <c:v>7.6199999999999992</c:v>
                </c:pt>
                <c:pt idx="12">
                  <c:v>6.7949999999999999</c:v>
                </c:pt>
                <c:pt idx="13">
                  <c:v>6.5299999999999994</c:v>
                </c:pt>
                <c:pt idx="14">
                  <c:v>7.35</c:v>
                </c:pt>
                <c:pt idx="15">
                  <c:v>6.92</c:v>
                </c:pt>
                <c:pt idx="16">
                  <c:v>6.91</c:v>
                </c:pt>
                <c:pt idx="17">
                  <c:v>6.73</c:v>
                </c:pt>
                <c:pt idx="18">
                  <c:v>6.29</c:v>
                </c:pt>
                <c:pt idx="19">
                  <c:v>6.93</c:v>
                </c:pt>
                <c:pt idx="20">
                  <c:v>5.81</c:v>
                </c:pt>
              </c:numCache>
            </c:numRef>
          </c:val>
          <c:smooth val="0"/>
          <c:extLst xmlns:c16r2="http://schemas.microsoft.com/office/drawing/2015/06/chart">
            <c:ext xmlns:c16="http://schemas.microsoft.com/office/drawing/2014/chart" uri="{C3380CC4-5D6E-409C-BE32-E72D297353CC}">
              <c16:uniqueId val="{00000000-076A-4C82-B3A7-5A841855014C}"/>
            </c:ext>
          </c:extLst>
        </c:ser>
        <c:dLbls>
          <c:showLegendKey val="0"/>
          <c:showVal val="0"/>
          <c:showCatName val="0"/>
          <c:showSerName val="0"/>
          <c:showPercent val="0"/>
          <c:showBubbleSize val="0"/>
        </c:dLbls>
        <c:marker val="1"/>
        <c:smooth val="0"/>
        <c:axId val="81206656"/>
        <c:axId val="86218624"/>
      </c:lineChart>
      <c:lineChart>
        <c:grouping val="standard"/>
        <c:varyColors val="0"/>
        <c:ser>
          <c:idx val="0"/>
          <c:order val="1"/>
          <c:tx>
            <c:strRef>
              <c:f>выводы!$I$1</c:f>
              <c:strCache>
                <c:ptCount val="1"/>
                <c:pt idx="0">
                  <c:v>% открытых пор</c:v>
                </c:pt>
              </c:strCache>
            </c:strRef>
          </c:tx>
          <c:spPr>
            <a:ln w="11080">
              <a:solidFill>
                <a:srgbClr val="000080"/>
              </a:solidFill>
              <a:prstDash val="solid"/>
            </a:ln>
          </c:spPr>
          <c:marker>
            <c:symbol val="diamond"/>
            <c:size val="4"/>
            <c:spPr>
              <a:solidFill>
                <a:srgbClr val="000080"/>
              </a:solidFill>
              <a:ln>
                <a:solidFill>
                  <a:srgbClr val="000080"/>
                </a:solidFill>
                <a:prstDash val="solid"/>
              </a:ln>
            </c:spPr>
          </c:marker>
          <c:val>
            <c:numRef>
              <c:f>выводы!$I$7:$I$27</c:f>
              <c:numCache>
                <c:formatCode>General</c:formatCode>
                <c:ptCount val="21"/>
                <c:pt idx="0">
                  <c:v>57.81</c:v>
                </c:pt>
                <c:pt idx="1">
                  <c:v>57.63</c:v>
                </c:pt>
                <c:pt idx="2">
                  <c:v>60.71</c:v>
                </c:pt>
                <c:pt idx="3">
                  <c:v>61.63</c:v>
                </c:pt>
                <c:pt idx="4">
                  <c:v>63</c:v>
                </c:pt>
                <c:pt idx="5">
                  <c:v>63.1</c:v>
                </c:pt>
                <c:pt idx="6">
                  <c:v>63.2</c:v>
                </c:pt>
                <c:pt idx="7">
                  <c:v>65</c:v>
                </c:pt>
                <c:pt idx="8">
                  <c:v>63.64</c:v>
                </c:pt>
                <c:pt idx="9">
                  <c:v>69</c:v>
                </c:pt>
                <c:pt idx="10">
                  <c:v>69.099999999999994</c:v>
                </c:pt>
                <c:pt idx="11">
                  <c:v>69.25</c:v>
                </c:pt>
                <c:pt idx="12">
                  <c:v>69.3</c:v>
                </c:pt>
                <c:pt idx="13">
                  <c:v>67.3</c:v>
                </c:pt>
                <c:pt idx="14">
                  <c:v>68</c:v>
                </c:pt>
                <c:pt idx="15">
                  <c:v>69.099999999999994</c:v>
                </c:pt>
                <c:pt idx="16">
                  <c:v>69</c:v>
                </c:pt>
                <c:pt idx="17">
                  <c:v>69.5</c:v>
                </c:pt>
                <c:pt idx="18">
                  <c:v>69.8</c:v>
                </c:pt>
                <c:pt idx="19">
                  <c:v>70.099999999999994</c:v>
                </c:pt>
                <c:pt idx="20">
                  <c:v>70.099999999999994</c:v>
                </c:pt>
              </c:numCache>
            </c:numRef>
          </c:val>
          <c:smooth val="0"/>
          <c:extLst xmlns:c16r2="http://schemas.microsoft.com/office/drawing/2015/06/chart">
            <c:ext xmlns:c16="http://schemas.microsoft.com/office/drawing/2014/chart" uri="{C3380CC4-5D6E-409C-BE32-E72D297353CC}">
              <c16:uniqueId val="{00000001-076A-4C82-B3A7-5A841855014C}"/>
            </c:ext>
          </c:extLst>
        </c:ser>
        <c:dLbls>
          <c:showLegendKey val="0"/>
          <c:showVal val="0"/>
          <c:showCatName val="0"/>
          <c:showSerName val="0"/>
          <c:showPercent val="0"/>
          <c:showBubbleSize val="0"/>
        </c:dLbls>
        <c:marker val="1"/>
        <c:smooth val="0"/>
        <c:axId val="88907776"/>
        <c:axId val="88909312"/>
      </c:lineChart>
      <c:catAx>
        <c:axId val="81206656"/>
        <c:scaling>
          <c:orientation val="minMax"/>
        </c:scaling>
        <c:delete val="0"/>
        <c:axPos val="b"/>
        <c:title>
          <c:tx>
            <c:rich>
              <a:bodyPr/>
              <a:lstStyle/>
              <a:p>
                <a:pPr>
                  <a:defRPr sz="872" b="1" i="0" u="none" strike="noStrike" baseline="0">
                    <a:solidFill>
                      <a:srgbClr val="000000"/>
                    </a:solidFill>
                    <a:latin typeface="Arial"/>
                    <a:ea typeface="Arial"/>
                    <a:cs typeface="Arial"/>
                  </a:defRPr>
                </a:pPr>
                <a:r>
                  <a:rPr lang="ru-RU"/>
                  <a:t>время, сек.</a:t>
                </a:r>
              </a:p>
            </c:rich>
          </c:tx>
          <c:layout>
            <c:manualLayout>
              <c:xMode val="edge"/>
              <c:yMode val="edge"/>
              <c:x val="0.43759873617693523"/>
              <c:y val="0.86550976138828628"/>
            </c:manualLayout>
          </c:layout>
          <c:overlay val="0"/>
          <c:spPr>
            <a:noFill/>
            <a:ln w="22160">
              <a:noFill/>
            </a:ln>
          </c:spPr>
        </c:title>
        <c:numFmt formatCode="General" sourceLinked="1"/>
        <c:majorTickMark val="cross"/>
        <c:minorTickMark val="none"/>
        <c:tickLblPos val="nextTo"/>
        <c:spPr>
          <a:ln w="2770">
            <a:solidFill>
              <a:srgbClr val="000000"/>
            </a:solidFill>
            <a:prstDash val="solid"/>
          </a:ln>
        </c:spPr>
        <c:txPr>
          <a:bodyPr rot="-5400000" vert="horz"/>
          <a:lstStyle/>
          <a:p>
            <a:pPr>
              <a:defRPr sz="872" b="0" i="0" u="none" strike="noStrike" baseline="0">
                <a:solidFill>
                  <a:srgbClr val="000000"/>
                </a:solidFill>
                <a:latin typeface="Arial"/>
                <a:ea typeface="Arial"/>
                <a:cs typeface="Arial"/>
              </a:defRPr>
            </a:pPr>
            <a:endParaRPr lang="ru-RU"/>
          </a:p>
        </c:txPr>
        <c:crossAx val="86218624"/>
        <c:crosses val="autoZero"/>
        <c:auto val="0"/>
        <c:lblAlgn val="ctr"/>
        <c:lblOffset val="100"/>
        <c:tickLblSkip val="1"/>
        <c:tickMarkSkip val="1"/>
        <c:noMultiLvlLbl val="0"/>
      </c:catAx>
      <c:valAx>
        <c:axId val="86218624"/>
        <c:scaling>
          <c:orientation val="minMax"/>
          <c:min val="4"/>
        </c:scaling>
        <c:delete val="0"/>
        <c:axPos val="l"/>
        <c:title>
          <c:tx>
            <c:rich>
              <a:bodyPr/>
              <a:lstStyle/>
              <a:p>
                <a:pPr>
                  <a:defRPr sz="872" b="1" i="0" u="none" strike="noStrike" baseline="0">
                    <a:solidFill>
                      <a:srgbClr val="000000"/>
                    </a:solidFill>
                    <a:latin typeface="Arial"/>
                    <a:ea typeface="Arial"/>
                    <a:cs typeface="Arial"/>
                  </a:defRPr>
                </a:pPr>
                <a:r>
                  <a:rPr lang="en-US"/>
                  <a:t>-db</a:t>
                </a:r>
              </a:p>
            </c:rich>
          </c:tx>
          <c:layout>
            <c:manualLayout>
              <c:xMode val="edge"/>
              <c:yMode val="edge"/>
              <c:x val="1.7377567140600316E-2"/>
              <c:y val="0.4403470715835141"/>
            </c:manualLayout>
          </c:layout>
          <c:overlay val="0"/>
          <c:spPr>
            <a:noFill/>
            <a:ln w="22160">
              <a:noFill/>
            </a:ln>
          </c:spPr>
        </c:title>
        <c:numFmt formatCode="General" sourceLinked="1"/>
        <c:majorTickMark val="cross"/>
        <c:minorTickMark val="none"/>
        <c:tickLblPos val="nextTo"/>
        <c:spPr>
          <a:ln w="2770">
            <a:solidFill>
              <a:srgbClr val="000000"/>
            </a:solidFill>
            <a:prstDash val="solid"/>
          </a:ln>
        </c:spPr>
        <c:txPr>
          <a:bodyPr rot="0" vert="horz"/>
          <a:lstStyle/>
          <a:p>
            <a:pPr>
              <a:defRPr sz="872" b="0" i="0" u="none" strike="noStrike" baseline="0">
                <a:solidFill>
                  <a:srgbClr val="000000"/>
                </a:solidFill>
                <a:latin typeface="Arial"/>
                <a:ea typeface="Arial"/>
                <a:cs typeface="Arial"/>
              </a:defRPr>
            </a:pPr>
            <a:endParaRPr lang="ru-RU"/>
          </a:p>
        </c:txPr>
        <c:crossAx val="81206656"/>
        <c:crosses val="autoZero"/>
        <c:crossBetween val="between"/>
      </c:valAx>
      <c:catAx>
        <c:axId val="88907776"/>
        <c:scaling>
          <c:orientation val="minMax"/>
        </c:scaling>
        <c:delete val="1"/>
        <c:axPos val="b"/>
        <c:majorTickMark val="out"/>
        <c:minorTickMark val="none"/>
        <c:tickLblPos val="nextTo"/>
        <c:crossAx val="88909312"/>
        <c:crosses val="autoZero"/>
        <c:auto val="0"/>
        <c:lblAlgn val="ctr"/>
        <c:lblOffset val="100"/>
        <c:noMultiLvlLbl val="0"/>
      </c:catAx>
      <c:valAx>
        <c:axId val="88909312"/>
        <c:scaling>
          <c:orientation val="minMax"/>
          <c:min val="40"/>
        </c:scaling>
        <c:delete val="0"/>
        <c:axPos val="r"/>
        <c:title>
          <c:tx>
            <c:rich>
              <a:bodyPr/>
              <a:lstStyle/>
              <a:p>
                <a:pPr>
                  <a:defRPr sz="872" b="1" i="0" u="none" strike="noStrike" baseline="0">
                    <a:solidFill>
                      <a:srgbClr val="000000"/>
                    </a:solidFill>
                    <a:latin typeface="Arial"/>
                    <a:ea typeface="Arial"/>
                    <a:cs typeface="Arial"/>
                  </a:defRPr>
                </a:pPr>
                <a:r>
                  <a:rPr lang="ru-RU"/>
                  <a:t>%</a:t>
                </a:r>
              </a:p>
            </c:rich>
          </c:tx>
          <c:layout>
            <c:manualLayout>
              <c:xMode val="edge"/>
              <c:yMode val="edge"/>
              <c:x val="0.94628751974723535"/>
              <c:y val="0.4511930585683297"/>
            </c:manualLayout>
          </c:layout>
          <c:overlay val="0"/>
          <c:spPr>
            <a:noFill/>
            <a:ln w="22160">
              <a:noFill/>
            </a:ln>
          </c:spPr>
        </c:title>
        <c:numFmt formatCode="General" sourceLinked="1"/>
        <c:majorTickMark val="cross"/>
        <c:minorTickMark val="none"/>
        <c:tickLblPos val="nextTo"/>
        <c:spPr>
          <a:ln w="2770">
            <a:solidFill>
              <a:srgbClr val="000000"/>
            </a:solidFill>
            <a:prstDash val="solid"/>
          </a:ln>
        </c:spPr>
        <c:txPr>
          <a:bodyPr rot="0" vert="horz"/>
          <a:lstStyle/>
          <a:p>
            <a:pPr>
              <a:defRPr sz="872" b="0" i="0" u="none" strike="noStrike" baseline="0">
                <a:solidFill>
                  <a:srgbClr val="000000"/>
                </a:solidFill>
                <a:latin typeface="Arial"/>
                <a:ea typeface="Arial"/>
                <a:cs typeface="Arial"/>
              </a:defRPr>
            </a:pPr>
            <a:endParaRPr lang="ru-RU"/>
          </a:p>
        </c:txPr>
        <c:crossAx val="88907776"/>
        <c:crosses val="max"/>
        <c:crossBetween val="between"/>
      </c:valAx>
      <c:spPr>
        <a:solidFill>
          <a:srgbClr val="FFFFFF"/>
        </a:solidFill>
        <a:ln w="11080">
          <a:solidFill>
            <a:srgbClr val="808080"/>
          </a:solidFill>
          <a:prstDash val="solid"/>
        </a:ln>
      </c:spPr>
    </c:plotArea>
    <c:legend>
      <c:legendPos val="b"/>
      <c:layout>
        <c:manualLayout>
          <c:xMode val="edge"/>
          <c:yMode val="edge"/>
          <c:x val="0.33175355450236965"/>
          <c:y val="0.9414316702819957"/>
          <c:w val="0.33491311216429698"/>
          <c:h val="5.2060737527114966E-2"/>
        </c:manualLayout>
      </c:layout>
      <c:overlay val="0"/>
      <c:spPr>
        <a:solidFill>
          <a:srgbClr val="FFFFFF"/>
        </a:solidFill>
        <a:ln w="2770">
          <a:solidFill>
            <a:srgbClr val="000000"/>
          </a:solidFill>
          <a:prstDash val="solid"/>
        </a:ln>
      </c:spPr>
      <c:txPr>
        <a:bodyPr/>
        <a:lstStyle/>
        <a:p>
          <a:pPr>
            <a:defRPr sz="803"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2770">
      <a:solidFill>
        <a:srgbClr val="000000"/>
      </a:solidFill>
      <a:prstDash val="solid"/>
    </a:ln>
  </c:spPr>
  <c:txPr>
    <a:bodyPr/>
    <a:lstStyle/>
    <a:p>
      <a:pPr>
        <a:defRPr sz="872"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4" b="1" i="0" u="none" strike="noStrike" baseline="0">
                <a:solidFill>
                  <a:srgbClr val="000000"/>
                </a:solidFill>
                <a:latin typeface="Arial"/>
                <a:ea typeface="Arial"/>
                <a:cs typeface="Arial"/>
              </a:defRPr>
            </a:pPr>
            <a:r>
              <a:rPr lang="ru-RU"/>
              <a:t>Звуковое давление (-</a:t>
            </a:r>
            <a:r>
              <a:rPr lang="en-US"/>
              <a:t>db) </a:t>
            </a:r>
            <a:r>
              <a:rPr lang="ru-RU"/>
              <a:t>и образование закрытых пор во время нагрева</a:t>
            </a:r>
          </a:p>
        </c:rich>
      </c:tx>
      <c:layout>
        <c:manualLayout>
          <c:xMode val="edge"/>
          <c:yMode val="edge"/>
          <c:x val="0.13112164296998421"/>
          <c:y val="1.8957345971563982E-2"/>
        </c:manualLayout>
      </c:layout>
      <c:overlay val="0"/>
      <c:spPr>
        <a:noFill/>
        <a:ln w="22318">
          <a:noFill/>
        </a:ln>
      </c:spPr>
    </c:title>
    <c:autoTitleDeleted val="0"/>
    <c:plotArea>
      <c:layout>
        <c:manualLayout>
          <c:layoutTarget val="inner"/>
          <c:xMode val="edge"/>
          <c:yMode val="edge"/>
          <c:x val="9.6366508688783575E-2"/>
          <c:y val="0.2109004739336493"/>
          <c:w val="0.81042654028436023"/>
          <c:h val="0.50710900473933651"/>
        </c:manualLayout>
      </c:layout>
      <c:lineChart>
        <c:grouping val="standard"/>
        <c:varyColors val="0"/>
        <c:ser>
          <c:idx val="1"/>
          <c:order val="0"/>
          <c:tx>
            <c:strRef>
              <c:f>выводы!$F$1</c:f>
              <c:strCache>
                <c:ptCount val="1"/>
                <c:pt idx="0">
                  <c:v>min db</c:v>
                </c:pt>
              </c:strCache>
            </c:strRef>
          </c:tx>
          <c:spPr>
            <a:ln w="11159">
              <a:solidFill>
                <a:srgbClr val="FF00FF"/>
              </a:solidFill>
              <a:prstDash val="solid"/>
            </a:ln>
          </c:spPr>
          <c:marker>
            <c:symbol val="square"/>
            <c:size val="4"/>
            <c:spPr>
              <a:solidFill>
                <a:srgbClr val="FF00FF"/>
              </a:solidFill>
              <a:ln>
                <a:solidFill>
                  <a:srgbClr val="FF00FF"/>
                </a:solidFill>
                <a:prstDash val="solid"/>
              </a:ln>
            </c:spPr>
          </c:marker>
          <c:cat>
            <c:strRef>
              <c:f>выводы!$E$7:$E$27</c:f>
              <c:strCache>
                <c:ptCount val="21"/>
                <c:pt idx="0">
                  <c:v>25-30</c:v>
                </c:pt>
                <c:pt idx="1">
                  <c:v>30-35</c:v>
                </c:pt>
                <c:pt idx="2">
                  <c:v>35-40</c:v>
                </c:pt>
                <c:pt idx="3">
                  <c:v>40-45</c:v>
                </c:pt>
                <c:pt idx="4">
                  <c:v>45-50</c:v>
                </c:pt>
                <c:pt idx="5">
                  <c:v>50-55</c:v>
                </c:pt>
                <c:pt idx="6">
                  <c:v>55-60</c:v>
                </c:pt>
                <c:pt idx="7">
                  <c:v>60-65</c:v>
                </c:pt>
                <c:pt idx="8">
                  <c:v>65-70</c:v>
                </c:pt>
                <c:pt idx="9">
                  <c:v>70-75</c:v>
                </c:pt>
                <c:pt idx="10">
                  <c:v>75-80</c:v>
                </c:pt>
                <c:pt idx="11">
                  <c:v>80-85</c:v>
                </c:pt>
                <c:pt idx="12">
                  <c:v>85-90</c:v>
                </c:pt>
                <c:pt idx="13">
                  <c:v>90-95</c:v>
                </c:pt>
                <c:pt idx="14">
                  <c:v>95-100</c:v>
                </c:pt>
                <c:pt idx="15">
                  <c:v>100-105</c:v>
                </c:pt>
                <c:pt idx="16">
                  <c:v>105-110</c:v>
                </c:pt>
                <c:pt idx="17">
                  <c:v>110-115</c:v>
                </c:pt>
                <c:pt idx="18">
                  <c:v>115-120</c:v>
                </c:pt>
                <c:pt idx="19">
                  <c:v>120-125</c:v>
                </c:pt>
                <c:pt idx="20">
                  <c:v>125-130</c:v>
                </c:pt>
              </c:strCache>
            </c:strRef>
          </c:cat>
          <c:val>
            <c:numRef>
              <c:f>выводы!$F$7:$F$27</c:f>
              <c:numCache>
                <c:formatCode>General</c:formatCode>
                <c:ptCount val="21"/>
                <c:pt idx="0">
                  <c:v>8.1300000000000008</c:v>
                </c:pt>
                <c:pt idx="1">
                  <c:v>9.3000000000000007</c:v>
                </c:pt>
                <c:pt idx="2">
                  <c:v>9.31</c:v>
                </c:pt>
                <c:pt idx="3">
                  <c:v>8.2899999999999991</c:v>
                </c:pt>
                <c:pt idx="4">
                  <c:v>8.2249999999999996</c:v>
                </c:pt>
                <c:pt idx="5">
                  <c:v>8.34</c:v>
                </c:pt>
                <c:pt idx="6">
                  <c:v>7.7149999999999999</c:v>
                </c:pt>
                <c:pt idx="7">
                  <c:v>7.6899999999999995</c:v>
                </c:pt>
                <c:pt idx="8">
                  <c:v>6.6750000000000007</c:v>
                </c:pt>
                <c:pt idx="9">
                  <c:v>8.8550000000000004</c:v>
                </c:pt>
                <c:pt idx="10">
                  <c:v>7.1449999999999996</c:v>
                </c:pt>
                <c:pt idx="11">
                  <c:v>7.6199999999999992</c:v>
                </c:pt>
                <c:pt idx="12">
                  <c:v>6.7949999999999999</c:v>
                </c:pt>
                <c:pt idx="13">
                  <c:v>6.5299999999999994</c:v>
                </c:pt>
                <c:pt idx="14">
                  <c:v>7.35</c:v>
                </c:pt>
                <c:pt idx="15">
                  <c:v>6.92</c:v>
                </c:pt>
                <c:pt idx="16">
                  <c:v>6.91</c:v>
                </c:pt>
                <c:pt idx="17">
                  <c:v>6.73</c:v>
                </c:pt>
                <c:pt idx="18">
                  <c:v>6.29</c:v>
                </c:pt>
                <c:pt idx="19">
                  <c:v>6.93</c:v>
                </c:pt>
                <c:pt idx="20">
                  <c:v>5.81</c:v>
                </c:pt>
              </c:numCache>
            </c:numRef>
          </c:val>
          <c:smooth val="0"/>
          <c:extLst xmlns:c16r2="http://schemas.microsoft.com/office/drawing/2015/06/chart">
            <c:ext xmlns:c16="http://schemas.microsoft.com/office/drawing/2014/chart" uri="{C3380CC4-5D6E-409C-BE32-E72D297353CC}">
              <c16:uniqueId val="{00000000-DAA7-4E1C-9385-30EDB33AA8B0}"/>
            </c:ext>
          </c:extLst>
        </c:ser>
        <c:dLbls>
          <c:showLegendKey val="0"/>
          <c:showVal val="0"/>
          <c:showCatName val="0"/>
          <c:showSerName val="0"/>
          <c:showPercent val="0"/>
          <c:showBubbleSize val="0"/>
        </c:dLbls>
        <c:marker val="1"/>
        <c:smooth val="0"/>
        <c:axId val="89231744"/>
        <c:axId val="89234048"/>
      </c:lineChart>
      <c:lineChart>
        <c:grouping val="standard"/>
        <c:varyColors val="0"/>
        <c:ser>
          <c:idx val="0"/>
          <c:order val="1"/>
          <c:tx>
            <c:strRef>
              <c:f>выводы!$J$1</c:f>
              <c:strCache>
                <c:ptCount val="1"/>
                <c:pt idx="0">
                  <c:v>% закрытых</c:v>
                </c:pt>
              </c:strCache>
            </c:strRef>
          </c:tx>
          <c:spPr>
            <a:ln w="11159">
              <a:solidFill>
                <a:srgbClr val="000080"/>
              </a:solidFill>
              <a:prstDash val="solid"/>
            </a:ln>
          </c:spPr>
          <c:marker>
            <c:symbol val="diamond"/>
            <c:size val="4"/>
            <c:spPr>
              <a:solidFill>
                <a:srgbClr val="000080"/>
              </a:solidFill>
              <a:ln>
                <a:solidFill>
                  <a:srgbClr val="000080"/>
                </a:solidFill>
                <a:prstDash val="solid"/>
              </a:ln>
            </c:spPr>
          </c:marker>
          <c:val>
            <c:numRef>
              <c:f>выводы!$J$7:$J$27</c:f>
              <c:numCache>
                <c:formatCode>General</c:formatCode>
                <c:ptCount val="21"/>
                <c:pt idx="0">
                  <c:v>42.19</c:v>
                </c:pt>
                <c:pt idx="1">
                  <c:v>42.37</c:v>
                </c:pt>
                <c:pt idx="2">
                  <c:v>39.29</c:v>
                </c:pt>
                <c:pt idx="3">
                  <c:v>38.369999999999997</c:v>
                </c:pt>
                <c:pt idx="4">
                  <c:v>37</c:v>
                </c:pt>
                <c:pt idx="5">
                  <c:v>36.9</c:v>
                </c:pt>
                <c:pt idx="6">
                  <c:v>36.799999999999997</c:v>
                </c:pt>
                <c:pt idx="7">
                  <c:v>35</c:v>
                </c:pt>
                <c:pt idx="8">
                  <c:v>36.36</c:v>
                </c:pt>
                <c:pt idx="9">
                  <c:v>31</c:v>
                </c:pt>
                <c:pt idx="10">
                  <c:v>30.900000000000006</c:v>
                </c:pt>
                <c:pt idx="11">
                  <c:v>30.75</c:v>
                </c:pt>
                <c:pt idx="12">
                  <c:v>30.700000000000003</c:v>
                </c:pt>
                <c:pt idx="13">
                  <c:v>32.700000000000003</c:v>
                </c:pt>
                <c:pt idx="14">
                  <c:v>32</c:v>
                </c:pt>
                <c:pt idx="15">
                  <c:v>30.900000000000006</c:v>
                </c:pt>
                <c:pt idx="16">
                  <c:v>31</c:v>
                </c:pt>
                <c:pt idx="17">
                  <c:v>30.5</c:v>
                </c:pt>
                <c:pt idx="18">
                  <c:v>30.200000000000003</c:v>
                </c:pt>
                <c:pt idx="19">
                  <c:v>29.900000000000006</c:v>
                </c:pt>
                <c:pt idx="20">
                  <c:v>29.900000000000006</c:v>
                </c:pt>
              </c:numCache>
            </c:numRef>
          </c:val>
          <c:smooth val="0"/>
          <c:extLst xmlns:c16r2="http://schemas.microsoft.com/office/drawing/2015/06/chart">
            <c:ext xmlns:c16="http://schemas.microsoft.com/office/drawing/2014/chart" uri="{C3380CC4-5D6E-409C-BE32-E72D297353CC}">
              <c16:uniqueId val="{00000001-DAA7-4E1C-9385-30EDB33AA8B0}"/>
            </c:ext>
          </c:extLst>
        </c:ser>
        <c:dLbls>
          <c:showLegendKey val="0"/>
          <c:showVal val="0"/>
          <c:showCatName val="0"/>
          <c:showSerName val="0"/>
          <c:showPercent val="0"/>
          <c:showBubbleSize val="0"/>
        </c:dLbls>
        <c:marker val="1"/>
        <c:smooth val="0"/>
        <c:axId val="89256704"/>
        <c:axId val="89258240"/>
      </c:lineChart>
      <c:catAx>
        <c:axId val="89231744"/>
        <c:scaling>
          <c:orientation val="minMax"/>
        </c:scaling>
        <c:delete val="0"/>
        <c:axPos val="b"/>
        <c:title>
          <c:tx>
            <c:rich>
              <a:bodyPr/>
              <a:lstStyle/>
              <a:p>
                <a:pPr>
                  <a:defRPr sz="879" b="1" i="0" u="none" strike="noStrike" baseline="0">
                    <a:solidFill>
                      <a:srgbClr val="000000"/>
                    </a:solidFill>
                    <a:latin typeface="Arial"/>
                    <a:ea typeface="Arial"/>
                    <a:cs typeface="Arial"/>
                  </a:defRPr>
                </a:pPr>
                <a:r>
                  <a:rPr lang="ru-RU"/>
                  <a:t>время, сек.</a:t>
                </a:r>
              </a:p>
            </c:rich>
          </c:tx>
          <c:layout>
            <c:manualLayout>
              <c:xMode val="edge"/>
              <c:yMode val="edge"/>
              <c:x val="0.43759873617693523"/>
              <c:y val="0.85308056872037918"/>
            </c:manualLayout>
          </c:layout>
          <c:overlay val="0"/>
          <c:spPr>
            <a:noFill/>
            <a:ln w="22318">
              <a:noFill/>
            </a:ln>
          </c:spPr>
        </c:title>
        <c:numFmt formatCode="General" sourceLinked="1"/>
        <c:majorTickMark val="cross"/>
        <c:minorTickMark val="none"/>
        <c:tickLblPos val="nextTo"/>
        <c:spPr>
          <a:ln w="2790">
            <a:solidFill>
              <a:srgbClr val="000000"/>
            </a:solidFill>
            <a:prstDash val="solid"/>
          </a:ln>
        </c:spPr>
        <c:txPr>
          <a:bodyPr rot="-5400000" vert="horz"/>
          <a:lstStyle/>
          <a:p>
            <a:pPr>
              <a:defRPr sz="879" b="0" i="0" u="none" strike="noStrike" baseline="0">
                <a:solidFill>
                  <a:srgbClr val="000000"/>
                </a:solidFill>
                <a:latin typeface="Arial"/>
                <a:ea typeface="Arial"/>
                <a:cs typeface="Arial"/>
              </a:defRPr>
            </a:pPr>
            <a:endParaRPr lang="ru-RU"/>
          </a:p>
        </c:txPr>
        <c:crossAx val="89234048"/>
        <c:crosses val="autoZero"/>
        <c:auto val="0"/>
        <c:lblAlgn val="ctr"/>
        <c:lblOffset val="100"/>
        <c:tickLblSkip val="1"/>
        <c:tickMarkSkip val="1"/>
        <c:noMultiLvlLbl val="0"/>
      </c:catAx>
      <c:valAx>
        <c:axId val="89234048"/>
        <c:scaling>
          <c:orientation val="minMax"/>
          <c:min val="4"/>
        </c:scaling>
        <c:delete val="0"/>
        <c:axPos val="l"/>
        <c:title>
          <c:tx>
            <c:rich>
              <a:bodyPr/>
              <a:lstStyle/>
              <a:p>
                <a:pPr>
                  <a:defRPr sz="879" b="1" i="0" u="none" strike="noStrike" baseline="0">
                    <a:solidFill>
                      <a:srgbClr val="000000"/>
                    </a:solidFill>
                    <a:latin typeface="Arial"/>
                    <a:ea typeface="Arial"/>
                    <a:cs typeface="Arial"/>
                  </a:defRPr>
                </a:pPr>
                <a:r>
                  <a:rPr lang="en-US"/>
                  <a:t>-db</a:t>
                </a:r>
              </a:p>
            </c:rich>
          </c:tx>
          <c:layout>
            <c:manualLayout>
              <c:xMode val="edge"/>
              <c:yMode val="edge"/>
              <c:x val="1.7377567140600316E-2"/>
              <c:y val="0.43364928909952605"/>
            </c:manualLayout>
          </c:layout>
          <c:overlay val="0"/>
          <c:spPr>
            <a:noFill/>
            <a:ln w="22318">
              <a:noFill/>
            </a:ln>
          </c:spPr>
        </c:title>
        <c:numFmt formatCode="General" sourceLinked="1"/>
        <c:majorTickMark val="cross"/>
        <c:minorTickMark val="none"/>
        <c:tickLblPos val="nextTo"/>
        <c:spPr>
          <a:ln w="2790">
            <a:solidFill>
              <a:srgbClr val="000000"/>
            </a:solidFill>
            <a:prstDash val="solid"/>
          </a:ln>
        </c:spPr>
        <c:txPr>
          <a:bodyPr rot="0" vert="horz"/>
          <a:lstStyle/>
          <a:p>
            <a:pPr>
              <a:defRPr sz="879" b="0" i="0" u="none" strike="noStrike" baseline="0">
                <a:solidFill>
                  <a:srgbClr val="000000"/>
                </a:solidFill>
                <a:latin typeface="Arial"/>
                <a:ea typeface="Arial"/>
                <a:cs typeface="Arial"/>
              </a:defRPr>
            </a:pPr>
            <a:endParaRPr lang="ru-RU"/>
          </a:p>
        </c:txPr>
        <c:crossAx val="89231744"/>
        <c:crosses val="autoZero"/>
        <c:crossBetween val="between"/>
      </c:valAx>
      <c:catAx>
        <c:axId val="89256704"/>
        <c:scaling>
          <c:orientation val="minMax"/>
        </c:scaling>
        <c:delete val="1"/>
        <c:axPos val="b"/>
        <c:majorTickMark val="out"/>
        <c:minorTickMark val="none"/>
        <c:tickLblPos val="nextTo"/>
        <c:crossAx val="89258240"/>
        <c:crosses val="autoZero"/>
        <c:auto val="0"/>
        <c:lblAlgn val="ctr"/>
        <c:lblOffset val="100"/>
        <c:noMultiLvlLbl val="0"/>
      </c:catAx>
      <c:valAx>
        <c:axId val="89258240"/>
        <c:scaling>
          <c:orientation val="minMax"/>
          <c:min val="20"/>
        </c:scaling>
        <c:delete val="0"/>
        <c:axPos val="r"/>
        <c:title>
          <c:tx>
            <c:rich>
              <a:bodyPr/>
              <a:lstStyle/>
              <a:p>
                <a:pPr>
                  <a:defRPr sz="879" b="1" i="0" u="none" strike="noStrike" baseline="0">
                    <a:solidFill>
                      <a:srgbClr val="000000"/>
                    </a:solidFill>
                    <a:latin typeface="Arial"/>
                    <a:ea typeface="Arial"/>
                    <a:cs typeface="Arial"/>
                  </a:defRPr>
                </a:pPr>
                <a:r>
                  <a:rPr lang="ru-RU"/>
                  <a:t>%</a:t>
                </a:r>
              </a:p>
            </c:rich>
          </c:tx>
          <c:layout>
            <c:manualLayout>
              <c:xMode val="edge"/>
              <c:yMode val="edge"/>
              <c:x val="0.94628751974723535"/>
              <c:y val="0.44549763033175355"/>
            </c:manualLayout>
          </c:layout>
          <c:overlay val="0"/>
          <c:spPr>
            <a:noFill/>
            <a:ln w="22318">
              <a:noFill/>
            </a:ln>
          </c:spPr>
        </c:title>
        <c:numFmt formatCode="General" sourceLinked="1"/>
        <c:majorTickMark val="cross"/>
        <c:minorTickMark val="none"/>
        <c:tickLblPos val="nextTo"/>
        <c:spPr>
          <a:ln w="2790">
            <a:solidFill>
              <a:srgbClr val="000000"/>
            </a:solidFill>
            <a:prstDash val="solid"/>
          </a:ln>
        </c:spPr>
        <c:txPr>
          <a:bodyPr rot="0" vert="horz"/>
          <a:lstStyle/>
          <a:p>
            <a:pPr>
              <a:defRPr sz="879" b="0" i="0" u="none" strike="noStrike" baseline="0">
                <a:solidFill>
                  <a:srgbClr val="000000"/>
                </a:solidFill>
                <a:latin typeface="Arial"/>
                <a:ea typeface="Arial"/>
                <a:cs typeface="Arial"/>
              </a:defRPr>
            </a:pPr>
            <a:endParaRPr lang="ru-RU"/>
          </a:p>
        </c:txPr>
        <c:crossAx val="89256704"/>
        <c:crosses val="max"/>
        <c:crossBetween val="between"/>
      </c:valAx>
      <c:spPr>
        <a:solidFill>
          <a:srgbClr val="FFFFFF"/>
        </a:solidFill>
        <a:ln w="11159">
          <a:solidFill>
            <a:srgbClr val="808080"/>
          </a:solidFill>
          <a:prstDash val="solid"/>
        </a:ln>
      </c:spPr>
    </c:plotArea>
    <c:legend>
      <c:legendPos val="b"/>
      <c:layout>
        <c:manualLayout>
          <c:xMode val="edge"/>
          <c:yMode val="edge"/>
          <c:x val="0.35071090047393366"/>
          <c:y val="0.93601895734597151"/>
          <c:w val="0.29699842022116901"/>
          <c:h val="5.6872037914691941E-2"/>
        </c:manualLayout>
      </c:layout>
      <c:overlay val="0"/>
      <c:spPr>
        <a:solidFill>
          <a:srgbClr val="FFFFFF"/>
        </a:solidFill>
        <a:ln w="2790">
          <a:solidFill>
            <a:srgbClr val="000000"/>
          </a:solidFill>
          <a:prstDash val="solid"/>
        </a:ln>
      </c:spPr>
      <c:txPr>
        <a:bodyPr/>
        <a:lstStyle/>
        <a:p>
          <a:pPr>
            <a:defRPr sz="808"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2790">
      <a:solidFill>
        <a:srgbClr val="000000"/>
      </a:solidFill>
      <a:prstDash val="solid"/>
    </a:ln>
  </c:spPr>
  <c:txPr>
    <a:bodyPr/>
    <a:lstStyle/>
    <a:p>
      <a:pPr>
        <a:defRPr sz="879"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772F-56E5-4E94-B89B-8BB64FDA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2022-12-08T07:09:00Z</dcterms:created>
  <dcterms:modified xsi:type="dcterms:W3CDTF">2022-12-08T07:15:00Z</dcterms:modified>
</cp:coreProperties>
</file>